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112 vom 1. Oktober 2018</w:t>
      </w:r>
    </w:p>
    <w:p>
      <w:r>
        <w:t>FR Kantonsgericht, 2018-10-01, FR</w:t>
      </w:r>
    </w:p>
    <w:p>
      <w:r>
        <w:rPr>
          <w:b/>
        </w:rPr>
        <w:t xml:space="preserve">Quelle: </w:t>
      </w:r>
      <w:r>
        <w:t>https://mcp.opencaselaw.ch/entscheid/fr_gerichte_608_2018_112</w:t>
      </w:r>
    </w:p>
    <w:p>
      <w:r>
        <w:t>FR: FR_GERICHTE 608 2018 112 du 1 octobre 2018</w:t>
      </w:r>
    </w:p>
    <w:p>
      <w:r>
        <w:t>IT: FR_GERICHTE 608 2018 112 del 1 ottobre 2018</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étant en outre directement atteinte par la décision querellée et ayant dès lors un intérêt digne de protection à ce qu'elle soit, cas échéant, annulée ou modifiée.</w:t>
      </w:r>
    </w:p>
    <w:p>
      <w:r>
        <w:rPr>
          <w:b/>
        </w:rPr>
        <w:t>E. 2.1</w:t>
      </w:r>
    </w:p>
    <w:p>
      <w:r>
        <w:t>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 y compris de troubles somatoformes douloureux persistants ou de fibromyalgie –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w:t>
      </w:r>
    </w:p>
    <w:p>
      <w:r>
        <w:t>Tribunal cantonal TC Page 4 de 12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Par contre,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w:t>
      </w:r>
    </w:p>
    <w:p>
      <w:r>
        <w:rPr>
          <w:b/>
        </w:rPr>
        <w:t>E. 2.3</w:t>
      </w:r>
    </w:p>
    <w:p>
      <w:r>
        <w:t>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w:t>
      </w:r>
    </w:p>
    <w:p>
      <w:r>
        <w:t>Tribunal cantonal TC Page 5 de 12</w:t>
      </w:r>
    </w:p>
    <w:p>
      <w:r>
        <w:rPr>
          <w:b/>
        </w:rPr>
        <w:t>E. 3</w:t>
      </w:r>
    </w:p>
    <w:p>
      <w:r>
        <w:t>Pour pouvoir décider,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rPr>
          <w:b/>
        </w:rPr>
        <w:t>E. 3.1</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3.2</w:t>
      </w:r>
    </w:p>
    <w:p>
      <w:r>
        <w:t>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w:t>
      </w:r>
    </w:p>
    <w:p>
      <w:r>
        <w:rPr>
          <w:b/>
        </w:rPr>
        <w:t>E. 3.3</w:t>
      </w:r>
    </w:p>
    <w:p>
      <w:r>
        <w:t>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w:t>
      </w:r>
    </w:p>
    <w:p>
      <w:r>
        <w:t>Tribunal cantonal TC Page 6 de 12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rPr>
          <w:b/>
        </w:rPr>
        <w:t>E. 4</w:t>
      </w:r>
    </w:p>
    <w:p>
      <w:r>
        <w:t>Il convient d'examiner le droit aux prestations de la recourante ce qui implique d'abord d'examiner la problématique de sa capacité de travail.</w:t>
      </w:r>
    </w:p>
    <w:p>
      <w:r>
        <w:rPr>
          <w:b/>
        </w:rPr>
        <w:t>E. 4.1</w:t>
      </w:r>
    </w:p>
    <w:p>
      <w:r>
        <w:t>Sur le plan psychiatrique, l'OAI se prévaut du rapport d'expertise de la Dresse E.________, laquelle diagnostique un "trouble dépressif récurrent, épisode actuel léger sans syndrome somatique F33.00" et un "syndrome de dépendance au tabac, utilisation continue F17.25". Faisant état de périodes de capacité et d'incapacité de travail médicalement attestées, l'experte soutient que la recourante possédait une capacité de travail entière le 5 janvier 2016, date de son examen (expertise du 12 janvier 2016, dossier OAI, p. 115). Les conclusions de l'experte sont fondées sur l'examen du dossier assécurologique mis à sa disposition ainsi que sur un entretien du 5 janvier 2016 avec l'assurée, d'une durée de deux heures et demie. Sur ce point, contrairement à ce qu'évoque la recourante, le fait que l'experte n'ait procédé qu'à un seul entretien ne saurait être déterminant pour dénier toute valeur probante à l'expertise. En effet, c'est bien plus le contenu de cette dernière qui importe. Or, quand bien même un seul entretien a été mené, l'experte a pu procéder à des examens complets, étant relevé qu'elle a pu prendre connaissance du contexte médical et de l'évolution des troubles par l'anamnèse et l'étude du dossier. A cet égard, la recourante affirme qu'il existe des imprécisions, notamment en relation avec une première période d'incapacité de travail pour des motifs somatiques et la description de ses passe-temps. Ces imprécisions ne sauraient cependant remettre en question l'ensemble de l'appréciation de l'experte-psychiatre. Pour sa part, à l'occasion de l'entretien, l'assurée a pu décrire ses limitations dans sa vie quotidienne, notamment en lien avec la tenue de son ménage et sa capacité de concentration. Elle a également pu évoquer les difficultés survenues</w:t>
      </w:r>
    </w:p>
    <w:p>
      <w:r>
        <w:t>Tribunal cantonal TC Page 7 de 12 dans le cadre de son précédent emploi, en lien avec un cumul de responsabilités et un conflit relationnel avec son supérieur. L'experte-psychiatre a discuté les diagnostics émis par les autres intervenants. Elle exclut ainsi ceux retenus par la Dresse C.________ de la clinique D.________, dès lors qu'ils ne pouvaient pas se cumuler entre eux sur la base des critères de la CIM-10. Si elle évoque l'existence de "traits état limite, type borderline", elle estime que ceux-ci "n'atteignent pas une intensité suffisante" pour retenir un trouble de la personnalité. En substance, elle rejoint les conclusions de la psychiatre traitante de la recourante, la Dresse H.________, spécialiste en psychiatrie et psychothérapie, concluant que l'expertisée souffre d'un trouble dépressif récurrent. Cependant, à ses yeux, les symptômes objectivés lors de son examen correspondent à un "épisode dépressif léger, et non plus sévère", ce que confirment les tests qu'elle a effectués. La psychiatre estime, dès lors, que la capacité de travail est essentiellement restreinte par des facteurs extra-médicaux qui l'amènent à conclure qu'il n'y a "pas de fait médical empêchant la reprise d'un travail à 100%". Elle mentionne ainsi qu'il existe des discordances dans le discours de la recourante ("l'expertisée se dit épuisée, sans énergie, tout en étant vive et tonique tout au long de l'entretien"; "bien que [la recourante] dise ne plus pouvoir cuisiner, ni effectuer les tâches ménagères comme auparavant, elle consacre son temps à des loisirs de décoration de son intérieur, modifiant le décor à chaque saison. [Elle] n'a aucune difficulté à suivre des séries télévisées; elle dit apprécier la lecture de romans policiers, tout en ajoutant dans un 2ème temps ne pouvoir lire un livre dans son entier mais cependant poursuivant régulièrement cette activité"). L'experte mentionne également que l'expertisée est démotivée et "s'estime dans l'incapacité totale d'exercer une activité". Contrairement aux dires de la recourante, l'experte-psychiatre a procédé à une appréciation du cas en conformité avec les critères cités dans les arrêts ATF 141 V 281 et 143 V 409. En effet, l'experte conclut en particulier à l'absence d'une atteinte à la santé en présence de motifs d'exclusion, mais également l'existence d'incohérences entre une assurée qui se déclare inapte au travail mais gère son ménage de manière efficace au point d'envisager un achat immobilier. Tenant compte de ce que les troubles diagnostiqués sont de gravité légère, l'experte établit les faits de manière structurée et sur la base d'une vision d'ensemble. Elle met aussi en évidence que la recourante dispose de ressources, notamment avec le soutien de ses deux enfants; elle évoque en outre l'absence de retrait social complet et de comorbidité invalidante. Au vu de l'ensemble de ce qui précède, l'expertise de la Dresse E.________ doit se voire reconnaître une pleine force probante quand bien même elle a été rendue à l'aune de l'ancienne jurisprudence applicable à de tels troubles.</w:t>
      </w:r>
    </w:p>
    <w:p>
      <w:r>
        <w:rPr>
          <w:b/>
        </w:rPr>
        <w:t>E. 4.2</w:t>
      </w:r>
    </w:p>
    <w:p>
      <w:r>
        <w:t>Dans son mémoire, la recourante soutient que l'experte n'a pas pu tenir compte de l'évolution de ses troubles sur le long terme, son examen étant déjà ancien. Elle estime dès lors que l'expertise n'est plus suffisamment actuelle pour donner une image pertinente de son état de santé et se prévaut de l'avis de sa psychiatre traitante, la Dresse H.________, et des rapports de stage de F.________ et de la fondation I.________ – auprès de laquelle elle avait également réalisé un stage en 2017 –, lesquels attestent, selon elle, de son incapacité totale à travailler malgré sa "vraie motivation". La lecture des pièces au dossier ne témoigne cependant pas d'une évolution sensible de la situation sur le plan médical. En effet, en novembre 2015, la Dresse H.________ attestait que sa</w:t>
      </w:r>
    </w:p>
    <w:p>
      <w:r>
        <w:t>Tribunal cantonal TC Page 8 de 12 patiente n'était plus en mesure de travailler, y compris dans une activité adaptée, en raison d'un "trouble d'adaptation, réaction mixte anxieuse et dépressive" et d'un "trouble dépressif récurrent". En raison de ces diagnostics, elle évoquait un "état important de fatigue", une "perte d'énergie et de l'élan vital", une humeur triste, une irritabilité, la présence de ruminations et d'angoisses envahissantes, de "déficits de concentration et d'attention" et de "difficultés à gérer le stress" (rapport du 30 novembre 2015, dossier OAI, p. 100; cf. ég. p. 85, 111, 138). Dans son rapport plus récent du 19 septembre 2016, la Dresse H.________ ajoute certes un diagnostic de "possible trouble de l'attention", mais atteste de limitations identiques. Les seules modifications ont trait à une vision pessimiste de l'avenir (dossier OAI, p. 195). Puis, dans son rapport du 2 octobre 2017, la doctoresse modifie les diagnostics, passant du trouble de l'attention à un "probable trouble mixte de la personnalité", sans pour autant modifier les limitations en lien avec l'exercice d'une activité, soit une tristesse et une fatigue importante, une "perte d'énergie et de l'élan vital", une difficulté à gérer le stress et la pression au quotidien ainsi que des difficultés de concentration (dossier OAI, p. 283 et 291). Il ressort de ce qui précède que si les diagnostics ont évolué au fil du temps, la Dresse H.________ ne soutient pas que l'état de santé de sa patiente a évolué de manière considérable depuis l'expertise de la Dresse E.________. Les conclusions de cette dernière restent donc d'actualité. Cela étant, l'on constate que la Dresse H.________ procède à une appréciation différente de celle de la Dresse E.________ quant à la capacité de travail de sa patiente. Cependant, cette appréciation semble influencée par des motifs extra-médicaux, en lien notamment avec les préoccupations de la recourante quant à son avenir et son impression subjective qu'elle ne peut pas travailler, points tous deux également relevés par l'experte-psychiatre mais dont la prise en charge n'appartient pas à l'assurance-invalidité. En outre, il convient de prendre en compte le fait que, de jurisprudence constante, le médecin traitant peut être enclin à prendre parti pour son patient vu la relation de confiance qui l’unit à lui (cf. ATF 125 V 351). Partant, l'appréciation de la Dresse H.________ n'est pas en mesure de mettre en cause l'expertise de la Dresse E.________. Enfin, c'est en vain que la recourante se prévaut des conclusions des intervenants de F.________ et de I.________. Outre que le médecin de F.________ n'atteste d'aucune incapacité de travail, force est de constater qu'elle a été en mesure de travailler à un taux de 90% auprès du centre. Quoi qu'il en soit, les responsables du stage ne tranchent pas la question de savoir si une atteinte à la santé influence le rendement de la recourante. Cela n'est par ailleurs pas leur mandat, cette tâche appartenant aux médecins. De jurisprudence constante, les données médicales l'emportent sur les constatations qui peuvent être faites à l'occasion d'un stage d'observation professionnelle, ces dernières étant susceptibles d'être influencées par des éléments subjectifs liés au comportement de l'assuré (cf. arrêt TF 9C_83/2013 du 9 juillet 2013 consid. 4.1; ATF 125 V 256 consid. 4; 115 V 133 consid. 2; 114 V 310 consid. 3c). Il ressort de l'ensemble de ce qui précède que, sur le plan psychique, la Cour se rattache aux conclusions de la Dresse E.________ et retient que la recourante est en mesure de travailler à temps plein, sans perte de rendement, à tout le moins depuis le 5 janvier 2016, date de l'examen par l'experte-psychiatre.</w:t>
      </w:r>
    </w:p>
    <w:p>
      <w:r>
        <w:rPr>
          <w:b/>
        </w:rPr>
        <w:t>E. 4.3</w:t>
      </w:r>
    </w:p>
    <w:p>
      <w:r>
        <w:t>Sur le plan somatique, l'OAI se fonde sur l'avis de la Dresse G.________, du SMR, laquelle a procédé à un examen de la recourante le 9 août 2017.</w:t>
      </w:r>
    </w:p>
    <w:p>
      <w:r>
        <w:t>Tribunal cantonal TC Page 9 de 12 Dans son rapport du 1er septembre 2017, celle-ci diagnostique un "syndrome d'hypermobilité articulaire avec un status post périarthrite scapulo-humérale droite", lequel empêche l'assurée d'exercer son ancienne activité de vendeuse. Cependant, elle estime qu'une activité adaptée, laquelle ne doit pas nécessiter d'effort physique et épargner l'épaule droite, demeure possible à 100%, depuis toujours (dossier OAI, p. 258). Les conclusions de la Dresse G.________ sont fondées sur les pièces du dossier, par le biais desquelles la doctoresse a pu prendre connaissance de la situation médicale, et sur un entretien avec la recourante. A cette occasion, celle-ci a pu décrire ses douleurs aux épaules et au dos (plus particulièrement dorso-lombaires), leur incidence sur la réalisation des stages ainsi que les limitations dans son quotidien. Ces plaintes ont été dûment prises en compte par la doctoresse dans le cadre de l'anamnèse et de l'appréciation de la situation médicale. Pour sa part, cette dernière a pu procéder à un examen clinique complet de la recourante, se fondant également sur l'imagerie médicale à sa disposition. Elle motive de manière claire et argumentée ses conclusions, tant diagnostiques qu'en relation avec la problématique de la capacité de travail. Ainsi, quand bien même ce rapport a été émis par un médecin du SMR, il satisfait aux exigences définies par la jurisprudence en matière d'expertise médicale de sorte qu'il possède une pleine valeur probante. Les conclusions de la Dresse G.________ ne sont, au demeurant, pas contestées par la recourante, laquelle fait uniquement état de limitations sur le plan psychiatrique dans son mémoire du 26 avril 2018. Enfin, force est de constater que la Dresse G.________ va dans le sens des autres médecins interrogés. La Dresse J.________, spécialiste en médecine interne générale, renvoie à l'avis du psychiatre traitant s'agissant de la question de la capacité de travail (dossier OAI, p. 190; cf. ég. p. 80, 94). Pour sa part, la Dresse K.________, spécialiste en médecine interne générale et en rhumatologie, estime que seul un travail léger, non répétitif, peut être exigé de sa patiente. Dans une telle activité, elle estime que la capacité de travail est de 50% principalement en raison du "déconditionnement" (dossier OAI, p. 201, 212 et 230; cf. ég. 191, 232 et 234). Partant, la Cour se rattache à l'appréciation, non contestée, de la Dresse G.________ dans le sens que si la capacité de travail de la recourante est nulle dans son ancienne activité, celle-ci demeure en mesure d'exercer une activité adaptée à 100%.</w:t>
      </w:r>
    </w:p>
    <w:p>
      <w:r>
        <w:rPr>
          <w:b/>
        </w:rPr>
        <w:t>E. 5</w:t>
      </w:r>
    </w:p>
    <w:p>
      <w:r>
        <w:t>Compte tenu de ce qui précède, il convient d'évaluer le degré d'invalidité de la recourante, ce qui implique de procéder enfin à la comparaison des revenus de valide et d'invalide.</w:t>
      </w:r>
    </w:p>
    <w:p>
      <w:r>
        <w:rPr>
          <w:b/>
        </w:rPr>
        <w:t>E. 5.1</w:t>
      </w:r>
    </w:p>
    <w:p>
      <w:r>
        <w:t>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5.2</w:t>
      </w:r>
    </w:p>
    <w:p>
      <w:r>
        <w:t>Par revenu que l'assuré aurait pu obtenir s'il n'était pas invalide au sens de l'art. 16 LPGA, il faut entendre le gain qu'il réaliserait effectivement s'il était en bonne santé, et non pas ce qu'il</w:t>
      </w:r>
    </w:p>
    <w:p>
      <w:r>
        <w:t>Tribunal cantonal TC Page 10 de 12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En particulier,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51 consid. 5.1.2 et les références).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(cf. arrêt TF I 12/90 du 15 octobre 1991 consid. 4a, in RCC 1992 p. 94; voir également arrêt TF B 80/01 du 17 octobre 2003 consid. 5.2.2). Il y a alors lieu en principe de se rapporter aux données statistiques résultant de l'Enquête suisse sur la structure des salaires (ESS) éditée par l'Office fédéral de la statistique (cf. arrêt TF I 377/98 du 28 juillet 1999 consid. 3b, in VSI 1999 p. 246).</w:t>
      </w:r>
    </w:p>
    <w:p>
      <w:r>
        <w:rPr>
          <w:b/>
        </w:rPr>
        <w:t>E. 5.3</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 329/88 du 25 janvier 1989 consid. 4a).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w:t>
      </w:r>
    </w:p>
    <w:p>
      <w:r>
        <w:t>Tribunal cantonal TC Page 11 de 12 différents éléments qui peuvent influencer le revenu d'une activité lucrative (ATF 126 V 75 consid. 5).</w:t>
      </w:r>
    </w:p>
    <w:p>
      <w:r>
        <w:rPr>
          <w:b/>
        </w:rPr>
        <w:t>E. 6.1</w:t>
      </w:r>
    </w:p>
    <w:p>
      <w:r>
        <w:t>La recourante ne conteste pas le montant du revenu de valide CHF 54'222.90 retenu par l'autorité intimée. Celui-ci correspond au montant qu'elle aurait obtenu en tant que vendeuse en électroménager auprès de son ancien employeur, le montant de CHF 53'846.- évoqué pour 2014 (CHF 4'142.- x 13; dossier OAI, p. 56) ayant été indexé de 0.7%. Cette indexation de 0.7% correspond au seul taux global de l'année 2016 alors que, dans le secteur spécifique du commerce, il aurait fallu tenir compte de taux de 0.4% pour 2015 et de 0.9% pour 2016 (cf. OFS, T1.10 Indice des salaires nominaux par branche, commerce). Partant il est retenu, au titre de revenu de valide, un montant de CHF 54'572.10.</w:t>
      </w:r>
    </w:p>
    <w:p>
      <w:r>
        <w:rPr>
          <w:b/>
        </w:rPr>
        <w:t>E. 6.2</w:t>
      </w:r>
    </w:p>
    <w:p>
      <w:r>
        <w:t>En l'absence d'un revenu effectivement réalisé, il convient de se référer au montant mensuel de CHF 4'300.-, soit CHF 51'600.- annuellement, correspondant au salaire moyen du secteur privé selon les chiffres de l'Enquête suisse sur la structure des salaires 2014 (ESS 2014, TA1_Skill level, totaux, niveau de compétences 1, femmes). Dès lors que l'ESS comprend un large éventail d'activités, on peut, en effet, admettre qu'un nombre significatif d'entre elles est adapté aux limitations et aux aptitudes de la recourante dans un marché du travail équilibré (cf. arrêt TF I 312/04 du 28 juillet 2005 consid. 3.2.1). La référence au niveau de compétence 1 permet, pour sa part, de tenir compte du fait que la recourante ne possède aucune autre formation ou expérience dans ce domaine, absence impactant manifestement le revenu auquel elle pourrait prétendre et justifiant de se référer au grand groupe 9 de la classification internationale du type des professions (CITP; professions élémentaires). Ce montant doit être adapté à l'évolution des salaires nominaux. Contrairement aux 0.4% pris en compte par l'OAI, il convient plutôt de se référer aux 0.5% pour 2015 et aux 0.8% pour 2016, pour atteindre CHF 52'272.85 (cf. OFS, T39 Evolution des salaires nominaux, des prix à la consommation et des salaires réels, femmes). Il est également nécessaire de prendre en considération la durée usuelle du travail de 41.7 heures par semaine (cf. OFS, Durée normale du travail dans les entreprises selon la division économique, tous les secteurs). Au vu de la capacité de travail entière qui a été retenue, le revenu d'invalide est fixé à CHF 54'494.45.</w:t>
      </w:r>
    </w:p>
    <w:p>
      <w:r>
        <w:rPr>
          <w:b/>
        </w:rPr>
        <w:t>E. 6.3</w:t>
      </w:r>
    </w:p>
    <w:p>
      <w:r>
        <w:t>Il ressort de la comparaison des revenus de valide (CHF 54'572.10) et d'invalide (CHF 54'494.45) que la recourante subit une perte de gain de CHF 77.65. Cela équivaut à un degré d'invalidité de 0.14%, soit 0% (cf. ATF 130 V 121). Un degré d'invalidité inférieur à 40% ne donne pas droit à une rente de l'assurance-invalidité.</w:t>
      </w:r>
    </w:p>
    <w:p>
      <w:r>
        <w:rPr>
          <w:b/>
        </w:rPr>
        <w:t>E. 7</w:t>
      </w:r>
    </w:p>
    <w:p>
      <w:r>
        <w:t>Le recours, mal fondé, doit être rejeté et la décision querellée confirmée. La procédure n'étant pas gratuite, les frais de justice, fixés à CHF 800.-, sont mis à la charge de la recourante. Ils sont compensés avec l'avance de CHF 800.- effectuée.</w:t>
      </w:r>
    </w:p>
    <w:p>
      <w:r>
        <w:t>Tribunal cantonal TC Page 12 de 12 Compte tenu de l'issue du recours, il n'est pas octroyé de dépens. la Cour arrête : I. Le recours est rejeté. II. Les frais de justice, fixés à CHF 800.-, sont mis à la charge de la recourante; ils sont compensés avec l'avance de CHF 800.-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octobre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