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94 vom 28. Mai 2018</w:t>
      </w:r>
    </w:p>
    <w:p>
      <w:r>
        <w:t>FR Kantonsgericht, 2018-05-28, FR</w:t>
      </w:r>
    </w:p>
    <w:p>
      <w:r>
        <w:rPr>
          <w:b/>
        </w:rPr>
        <w:t xml:space="preserve">Quelle: </w:t>
      </w:r>
      <w:r>
        <w:t>https://mcp.opencaselaw.ch/entscheid/fr_gerichte_608_2017_94</w:t>
      </w:r>
    </w:p>
    <w:p>
      <w:r>
        <w:t>FR: FR_GERICHTE 608 2017 94 du 28 mai 2018</w:t>
      </w:r>
    </w:p>
    <w:p>
      <w:r>
        <w:t>IT: FR_GERICHTE 608 2017 94 del 28 maggio 2018</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2.1</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On rappellera que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w:t>
      </w:r>
    </w:p>
    <w:p>
      <w:r>
        <w:rPr>
          <w:b/>
        </w:rPr>
        <w:t>E. 2.2</w:t>
      </w:r>
    </w:p>
    <w:p>
      <w:r>
        <w:t>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w:t>
      </w:r>
    </w:p>
    <w:p>
      <w:r>
        <w:t>Tribunal cantonal TC Page 4 de 10 C’est l’application de la méthode ordinaire, dite classique, d’évaluation du taux d’invalidité (art. 28a al. 1 LAI).</w:t>
      </w:r>
    </w:p>
    <w:p>
      <w:r>
        <w:rPr>
          <w:b/>
        </w:rPr>
        <w:t>E. 2.2.1</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Ce n'est qu'en l'absence d'un revenu effectivement réalisé – soit lorsque l'assuré, après la survenance de l'atteinte à la santé, n'a pas repris d'activité ou alors aucune activité adaptée, normalement exigible – que la jurisprudence admet la possibilité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w:t>
      </w:r>
    </w:p>
    <w:p>
      <w:r>
        <w:rPr>
          <w:b/>
        </w:rPr>
        <w:t>E. 2.2.2</w:t>
      </w:r>
    </w:p>
    <w:p>
      <w:r>
        <w:t>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w:t>
      </w:r>
    </w:p>
    <w:p>
      <w:r>
        <w:rPr>
          <w:b/>
        </w:rPr>
        <w:t>E. 2.3</w:t>
      </w:r>
    </w:p>
    <w:p>
      <w:r>
        <w:t>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5 de 10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w:t>
      </w:r>
    </w:p>
    <w:p>
      <w:r>
        <w:rPr>
          <w:b/>
        </w:rPr>
        <w:t>E. 3</w:t>
      </w:r>
    </w:p>
    <w:p>
      <w:r>
        <w:t>avril 2013, dossier OAI, p. 301, 323 et 362; cf. ég. p. 276, 279 et 281). Depuis 2013, fixant la capacité de travail à 30% dans une activité d'aide de cuisine, le médecin a considéré que la reprise d'une activité adaptée n'était possible qu'à un taux inférieur à 50% en raison de "gros problèmes psychologiques". Avec cette cautèle, il estimait qu'une activité sans port de charges de plus de 10-15 kg, sans mouvements répétitifs de la colonne et permettant l'alternance des positions était adaptée (rapports des 22 novembre 2013, 20 décembre 2013 et 24 juillet 2014, dossier OAI, p. 160, 196 et 206). Par la suite, suggérant la réalisation d'une opération, l'orthopédiste a continué à fixer le degré d'incapacité de travail à 30% dans l'ancienne activité et à 50% dans une activité adaptée (rapports des 8 mai 2015, 24 juin 2015 et</w:t>
      </w:r>
    </w:p>
    <w:p>
      <w:r>
        <w:rPr>
          <w:b/>
        </w:rPr>
        <w:t>E. 3.1</w:t>
      </w:r>
    </w:p>
    <w:p>
      <w:r>
        <w:t>Dans la décision litigieuse, l'OAI se réfère aux conclusions de l'expert qu'il a mandaté, le Dr E.________. Dans son rapport, l'expert fait état d'un "status post décompression L5/S1 gauche, ablation du kyste, hernietomie et microdiscectomie le 21.12.11" et d'un "status post spondylodèse L4/L5/S1 avec PLIF L5/S1 le 03.09.12" comme seuls diagnostics invalidants. Les autres atteintes – notamment à l'articulation sacro-iliaque gauche, au rachis et au membre inférieur gauche – n'ont, à ses dires, aucune incidence sur la capacité de travail. En raison de ces atteintes invalidantes, l'expert estime que l'assurée n'est pas en mesure d'exercer une activité de cuisinière. Cependant, à ses yeux, une activité adaptée peut être exercée sans restriction, hors périodes opératoires (du 20 décembre 2011 au 15 mars 2012, du 3 septembre 2012 au 3 décembre 2012 et du 25 mai 2014 au 23 juin 2014). Dans une telle activité, le port de charges est limité aux charges légères à moyennement légères (5-15 kg), certaines positions sont déconseillées (s'accroupir, ramper, grimper), la colonne lombaire doit être préservée (pas de mouvements répétitifs ou fréquents de flexion, extension ou torsion) et les déplacements doivent satisfaire certaines conditions (pas de montée d'escaliers, pas de marche en terrain accidenté ou glissant). Le rapport, rédigé par un spécialiste en orthopédie, est fondé sur l'étude du dossier assécurologique, ce qui a permis à l'expert d'avoir une pleine connaissance du contexte et de l'historique médical. A ce stade, les erreurs ou imprécisions relevées par la recourante (not. sur ses enfants) n'apparaissent pas avoir d'incidence sur l'examen du cas, voire sont même corrigées dans le cadre de la discussion du cas par l'expert. Elles peuvent, tout au plus, être comparées à des coquilles typographiques qui ne remettent pas en cause les conclusions de l'expert. Lors d'un entretien du 26 novembre 2014 avec l'assurée, l'expert a été en mesure de procéder à un examen complet de cette dernière. A cette occasion, il a pu constater qu'elle avait un comportement très contradictoire. Il soulignait, par exemple, que lors de l'examen du rachis, la recourante a une amplitude "considérablement diminuée" alors qu'en "position assise, [elle] se penche sans douleur apparente afin de fermer la fermeture éclair de ses bottes". Néanmoins, même en constatant cette amplification des plaintes, il retient que les cervico-lombalgies ont une incidence sur la capacité de travail: il atteste de l'existence de troubles suffisamment graves pour être invalidants mais, également, amplifiés. Force est de constater que l'expert procède à une appréciation claire et motivée de la situation médicale, mettant en lien ses constats, les plaintes de l'expertisée et les éléments ressortant du dossier assécurologique. Cela étant, la recourante a immédiatement contesté le contenu de cette expertise. En effet, dès le lendemain de l'entretien avec l'expert, elle a déclaré avoir été mal reçue, que l'expert l'avait, notamment, accusé de cacher des radiographies et qu'il était "arrogant, parfois même agressif". Elle s'est aussi plainte de ce que l'expert a trop mis l'accent sur la quantification de ses heures de travail au détriment de l'organisation de sa vie personnelle (dossier OAI, p. 82 et 123). Par ses critiques, la recourante n'établit cependant pas en quoi l'expert n'aurait pas apprécié son cas de manière objective. On relèvera que le fait que le caractère et la personnalité du médecin n'aient pas été conformes aux attentes de l'expertisée ne remet nullement en cause ses conclusions ou la</w:t>
      </w:r>
    </w:p>
    <w:p>
      <w:r>
        <w:t>Tribunal cantonal TC Page 7 de 10 qualité de l'examen. Au demeurant, si l'expert estime avoir suffisamment d'informations sur le déroulement des journées de la recourante, il est normal que celui-ci change de sujet ou pose des questions en rapport avec d'autres problématiques qu'il estime également pertinentes, telles que la description de son travail actuel. Enfin, l'on retiendra que les informations citées par le Dr E.________ concordent avec celles – certes plus détaillées – figurant dans l'expertise du Dr D.________, étant rappelé que les deux experts ont produit des conclusions communes dans un document séparé (cf. dossier OAI, p. 114).</w:t>
      </w:r>
    </w:p>
    <w:p>
      <w:r>
        <w:rPr>
          <w:b/>
        </w:rPr>
        <w:t>E. 3.2</w:t>
      </w:r>
    </w:p>
    <w:p>
      <w:r>
        <w:t>Reste à examiner si les conclusions du Dr E.________ peuvent être remises en cause par les autres pièces du dossier et, en particulier, par l'avis des autres médecins interrogés.</w:t>
      </w:r>
    </w:p>
    <w:p>
      <w:r>
        <w:rPr>
          <w:b/>
        </w:rPr>
        <w:t>E. 3.2.1</w:t>
      </w:r>
    </w:p>
    <w:p>
      <w:r>
        <w:t>Suite aux interventions de 2011 et 2012, le Dr F.________, spécialiste en chirurgie orthopédique et traumatologie de l'appareil locomoteur, considérait que sa patiente était, après une reprise progressive, en mesure d'exercer une activité adaptée à temps plein. Il estimait que sa patiente devait éviter le port de charges de plus de 15 kg et éviter les flexions-extensions à répétition. Il relevait alors que la motivation de sa patiente à reprendre le travail n'était pas bonne et qu'il existait un risque moyen d'absentéisme (rapports des 26 avril 2012, 12 décembre 2012 et</w:t>
      </w:r>
    </w:p>
    <w:p>
      <w:r>
        <w:rPr>
          <w:b/>
        </w:rPr>
        <w:t>E. 3.2.2</w:t>
      </w:r>
    </w:p>
    <w:p>
      <w:r>
        <w:t>Au cours des mois de septembre et octobre 2013, la recourante a consulté le Dr G.________, chiropraticien. Celui-ci a procédé à 7 traitements, lesquels ont échoué et n'ont conduit à aucune amélioration des douleurs. Il estime que sa patiente est en mesure de travailler sept heures par jour en position assise et quatre en position debout, avec un rendement de 60%. Le port de charges est quant à lui limité à 10 kg (dossier OAI, p. 208). Le chiropraticien n'a pourtant plus été consulté depuis octobre 2013.</w:t>
      </w:r>
    </w:p>
    <w:p>
      <w:r>
        <w:t>Tribunal cantonal TC Page 8 de 10 Dans ces circonstances, il ne saurait clairement être en mesure de contredire les conclusions – bien plus actuelles – du Dr E.________.</w:t>
      </w:r>
    </w:p>
    <w:p>
      <w:r>
        <w:rPr>
          <w:b/>
        </w:rPr>
        <w:t>E. 3.2.3</w:t>
      </w:r>
    </w:p>
    <w:p>
      <w:r>
        <w:t>Sur le plan du diabète, les Drs H.________ et I.________, tous deux spécialistes en médecine interne générale et en endocrinologie-diabétologie, indiquent que cette maladie n'a qu'une incidence marginale sur la capacité de travail de leur patiente. En effet, tout au plus estiment-ils que le diabète nécessite un horaire permettant des pauses régulières – pour les mesures glycémiques, d'adapter le traitement et prendre des collations – et que la maladie peut créer des complications – pour l'heure absentes – pouvant entraîner une diminution de rendement. Mais ils précisent que la capacité de travail est surtout influencée par les "discopathies pour lesquelles elle a bénéficié de multiples interventions chirurgicales et pour lesquelles elle présente encore à ce jour des douleurs limitantes" (dossier OAI, p. 49, 299 et 325). L'incapacité de travail en lien avec le diabète doit donc s'ajouter aux limitations retenues par le Dr E.________.</w:t>
      </w:r>
    </w:p>
    <w:p>
      <w:r>
        <w:rPr>
          <w:b/>
        </w:rPr>
        <w:t>E. 3.2.4</w:t>
      </w:r>
    </w:p>
    <w:p>
      <w:r>
        <w:t>Enfin, les autres médecins interrogés ne statuent pas sur l'existence ou l'absence d'une capacité de travail dans une activité adaptée, étant rappelé qu'il n'est pas contesté que la recourante n'est plus en mesure d'exercer à temps plein son ancienne profession d'aide de cuisine et, par conséquent, de restauratrice. Ainsi, dans ses rapports médicaux le Dr J.________, médecin praticien, attestait que sa patiente n'était plus en mesure d'exercer son ancienne activité, sans pour autant jamais évoquer quelle serait sa capacité de travail dans une activité adaptée ni les éventuelles limitations à retenir (cf. dossier OAI, p. 30, 35, 67, 278, 282 et 284). La Dresse K.________, spécialiste FMH en anesthésiologie, n'indique, pour sa part, pas l'existence d'une incapacité de travail mais uniquement que sa patiente travaille deux heures par jour "avec beaucoup de peine" et qu'elle "ne peut rester assise ni debout" (dossier OAI, p. 56).</w:t>
      </w:r>
    </w:p>
    <w:p>
      <w:r>
        <w:rPr>
          <w:b/>
        </w:rPr>
        <w:t>E. 3.3</w:t>
      </w:r>
    </w:p>
    <w:p>
      <w:r>
        <w:t>Au vu de l'ensemble de ce qui précède, la Cour retient que les conclusions de l'expertise bidisciplinaire diligentée auprès du Dr E.________ et du Dr D.________ peuvent être suivies. Le dossier étant suffisamment instruit, il n'est pas nécessaire de donner une suite favorable à la requête de mesure d'instruction complémentaire. 4. En présence d'une capacité de travail résiduelle, il convient de déterminer le degré d'invalidité de la recourante sur la base d'une comparaison des revenus d'invalide et de valide. Ces deux revenus sont déterminés au moment de la naissance du droit à la rente à la mi-décembre 2012, soit un an depuis qu'une incapacité de travail est médicalement attestée, respectivement six mois après le dépôt de la requête de prestations. 4.1. S'agissant du revenu d'invalide, on ne saurait tenir compte, au regard du caractère apparemment peu adapté de cette activité, du gain que pourrait obtenir la recourante dans une activité dans la restauration. Cependant, la recourante doit se voir reconnaître une capacité de travail entière dans une activité adaptée. Sur le plan orthopédique, cette activité doit restreindre le port de charges, ne pas occasionner de positions accroupies ou à genou, préserver la colonne</w:t>
      </w:r>
    </w:p>
    <w:p>
      <w:r>
        <w:t>Tribunal cantonal TC Page 9 de 10 lombaire et limiter les déplacements à des surfaces lisses et plates. En outre, à ces limitations, s'ajoute le besoin d'un horaire permettant des pauses régulières au vu du diabète de la recourante. C'est donc à juste titre que l'OAI s'est référé aux données salariales, telles qu'elles résultent des enquêtes sur la structure des salaires 2010 de l'Office fédéral de la statistique (ci-après: ESS). Dès lors que l'ESS comprend un large éventail d'activités existant sur le marché du travail, on peut admettre qu'un nombre significatif d'entre elles est adapté aux aptitudes de la recourante, sans perte de rendement (cf. arrêt TF I 312/04 du 28 juillet 2005 consid. 3.2.1). En outre, afin de tenir compte du fait que l'assurée ne possède que peu d'expérience dans d'autres domaines que celui de la restauration, il convient de prendre en compte un niveau de qualification 4 "activités simples et répétitives". En effet, l'ESS différencie quatre niveaux de qualification et, en principe, le niveau 4 vise des personnes n'ayant pas de formation. Cela étant, contrairement au montant de CHF 4'112.- retenu par l'autorité intimée, le salaire mensuel brut s'élève, pour l'année 2010, à CHF 4'225.- (TA1, totaux, niveau de qualifications 4, femmes), soit CHF 50'700.- par année. Ce montant doit être porté à CHF 53'787.80, afin de tenir compte de la durée usuelle du travail de 41.7 heures et de l'évolution de l'indice des salaires nominaux (1% et 1%, cf. tableau T39). Enfin, on ne peut que confirmer la prise en compte d'un désavantage salarial de 10%. Partant, il convient de retenir le montant de CHF 48'409.05 au titre de revenu d'invalide. 4.2. S'agissant du revenu de valide, l'OAI a pris en compte un montant de CHF 52'350.30, se référant au montant retenu dans le cadre d'une enquête économique pour les indépendants (enquête du 18 novembre 2013, dossier OAI, p. 218). Dans ses observations du 21 juillet 2017, l'OAI précise que "la formulation de la décision comporte une imprécision" et que le montant de CHF 52'350.30 correspond à la moyenne des revenus annuels obtenus par la recourante entre 2006 et 2010, basée sur les montants du compte individuel AVS. Il fait donc référence à une période durant laquelle elle était salariée. Certes, au moment de la survenance de son invalidité, l'assurée n'exerçait plus d'activité dépendante. Cependant, l'exercice de l'activité indépendante a duré moins d'une année avant qu'elle ne soit atteinte dans sa santé. C'est ce qui a conduit l'enquêteur à se fonder sur les revenus qu'elle obtenait alors que son (futur) établissement était détenu par un tiers. Au vu des circonstances du présent cas, cette manière de procéder est ce qui se rapproche le plus de ce qu'elle aurait effectivement pu obtenir si elle n'avait pas été atteinte dans sa santé. En outre, ce montant est favorable à l'assurée dans la mesure où le revenu moyen de CHF 52'350.30 est supérieur au bénéfice réalisé par le restaurant en 2011, soit CHF 43'905.80. Il est également supérieur au montant de CHF 4'098.-, correspondant au revenu statistique mensuel dans la restauration en 2010 (cf. TA1, division 56, niveau de qualification 3, femme; compte tenu de l'indexation jusqu'en 2012, CHF 4'234.40 mensuel, soit CHF 50'818.90 annuel). Quoi qu'il en soit, si la recourante conteste ce montant, elle l'interprète comme la moyenne "du chiffre d'affaire du restaurant réalisé de 2006 à 2010" en se référant aux indications erronées figurant dans la décision. On l'a vu, tel n'est pas le cas. Le montant de CHF 52'350.30 correspond à la moyenne des revenus annuels obtenus par la recourante entre 2006 et 2010. Son unique critique peut dès lors être écartée.</w:t>
      </w:r>
    </w:p>
    <w:p>
      <w:r>
        <w:t>Tribunal cantonal TC Page 10 de 10 Indexé de 2008 jusqu'en 2012, cela correspond à CHF 55'123.80, montant qui peut être confirmé comme revenu de valide. 4.3. De la comparaison des revenus de valide (CHF 55'123.80) et d'invalide (CHF 48'409.05), il apparaît que la recourante subit une perte de gain de CHF 6'714.70. Cela équivaut à un degré d'invalidité de 12.18%, soit 12%, insuffisant pour l'octroi d'une rente de l'assurance-invalidité. Même s'il était tenu compte, comme le requiert la recourante, d'un pourcentage plus important au titre de désavantage salarial, le degré d'invalidité demeurerait largement inférieur à 40%. 5. De l'ensemble des éléments qui précèdent, le recours, mal fondé, doit être rejeté et la décision querellée confirmée. Les frais de justice sont fixés à CHF 800.-. Ils sont compensés avec l'avance du même montant qui a été effectuée. Le recours ayant été rejeté sur le fond, il n'est enfin pas alloué d'indemnité de partie. la Cour arrête: I. Le recours est rejeté. II. Les frais de justice, fixés à CHF 800.-, sont mis à la charge de la recourante; ils sont compensés par l'avance de frais versée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mai 2018/pte Le Président: Le Greffier-rapporteur:</w:t>
      </w:r>
    </w:p>
    <w:p>
      <w:r>
        <w:rPr>
          <w:b/>
        </w:rPr>
        <w:t>E. 6</w:t>
      </w:r>
    </w:p>
    <w:p>
      <w:r>
        <w:t>février 2017, dossier OAI, p. 27, 63 et 70; cf. ég. p.33, 37 et 45). Les limitations fonctionnelles retenues par le Dr F.________ sont identiques à celles retenues par le Dr E.________. Ce n'est que sur la quantification de la capacité de travail dans une activité adaptée que les deux médecins ne s'accordent pas. Sur ce plan, l'on constate cependant que l'évaluation du Dr F.________ – au demeurant positive après les interventions en ce qui concerne une activité adaptée – tient manifestement compte de l'incidence des troubles d'ordre psychique – que celui-ci considère comme particulièrement graves alors que l'expert interrogé les considère comme sans incidence sur la capacité de travail – et ne se réduit pas strictement aux troubles d'ordre somatique. L'appréciation du Dr F.________ ne remet dès lors pas en cause l'avis du Dr E.________.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