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88 vom 11. September 2017</w:t>
      </w:r>
    </w:p>
    <w:p>
      <w:r>
        <w:t>FR Kantonsgericht, 2017-09-11, FR</w:t>
      </w:r>
    </w:p>
    <w:p>
      <w:r>
        <w:rPr>
          <w:b/>
        </w:rPr>
        <w:t xml:space="preserve">Quelle: </w:t>
      </w:r>
      <w:r>
        <w:t>https://mcp.opencaselaw.ch/entscheid/fr_gerichte_608_2017_88</w:t>
      </w:r>
    </w:p>
    <w:p>
      <w:r>
        <w:t>FR: FR_GERICHTE 608 2017 88 du 11 septembre 2017</w:t>
      </w:r>
    </w:p>
    <w:p>
      <w:r>
        <w:t>IT: FR_GERICHTE 608 2017 88 del 11 settembre 2017</w:t>
      </w:r>
    </w:p>
    <w:p>
      <w:pPr>
        <w:pStyle w:val="Heading2"/>
      </w:pPr>
      <w:r>
        <w:t>Regeste</w:t>
      </w:r>
    </w:p>
    <w:p>
      <w:r>
        <w:t>Arrêt de la IIe Cour des assurances sociales du Tribunal cantonal | Invalidenversicherung</w:t>
      </w:r>
    </w:p>
    <w:p>
      <w:pPr>
        <w:pStyle w:val="Heading2"/>
      </w:pPr>
      <w:r>
        <w:t>Erwägungen</w:t>
      </w:r>
    </w:p>
    <w:p>
      <w:r>
        <w:rPr>
          <w:b/>
        </w:rPr>
        <w:t>E. 1</w:t>
      </w:r>
    </w:p>
    <w:p>
      <w:r>
        <w:t>Le recours, interjeté en temps utile – compte tenu des féries – et dans les formes légales auprès de l'autorité judiciaire compétente à raison du lieu ainsi que de la matière, est recevable, le recourant étant en outre directement atteint par la décision querellée et ayant dès lors un intérêt digne de protection à ce qu'elle soit, cas échéant, annulée ou modifiée.</w:t>
      </w:r>
    </w:p>
    <w:p>
      <w:r>
        <w:rPr>
          <w:b/>
        </w:rPr>
        <w:t>E. 2</w:t>
      </w:r>
    </w:p>
    <w:p>
      <w:r>
        <w:t>a)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8 al. 1 1e phr.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que les conditions d'octroi des différentes mesures soient remplies (let. b). L'invalidité n'est imminente que lorsqu'il est possible de prévoir qu'elle surviendra dans un avenir peu éloigné; cette condition n'est pas remplie dans les cas où la survenance de l'incapacité de gain paraît certes inéluctable, mais où le moment de cette survenance demeure encore incertain (ATF 124 V 269 consid. 4 et les références). b) Le droit au reclassement suppose que l'assuré soit invalide ou menacé d'une invalidité imminente (art. 8 al. 1 1e phr. LAI).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environ (ATF 139 V 399 consid. 5.3; 130 V 488 consid. 4.2 et les références). Par reclassement, la jurisprudence entend l'ensemble des mesures de réadaptation de nature professionnelle qui sont nécessaires et suffisantes pour procurer à la personne assurée une possibilité de gain à peu près équivalente à celle que lui offrait son ancienne activité. En règle générale, l'intéressé n'a droit qu'aux mesures nécessaires, propres à atteindre le but de réadaptation visé, mais non pas à celles qui seraient les meilleures dans son cas. En particulier, il ne peut pas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139 V 399 consid. 5.4; 130 V 488 consid. 4.2 et les références). Un reclassement ne peut pas être interrompu prématurément tant que le but visé de réinsertion peut encore être atteint moyennant le respect de proportionnalité (arrêt TF 9C_81/2013 du 3 juillet 2013 consid. 6).</w:t>
      </w:r>
    </w:p>
    <w:p>
      <w:r>
        <w:t>Tribunal cantonal TC Page 4 de 9 c)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 LPGA; ATF 141 V 281 consid. 3.7.1; 102 V 165; VSI 2001 p. 223 consid. 2b et les références citées; cf. également ATF 127 V 294 consid. 4c i. f.).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VSI 2000 p. 153 consid. 2a et les références). Les facteurs psychosociaux et socioculturels ne constituent pour elles seules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La reconnaissance de l'existence d'une atteinte à la santé psychique suppose la présence d'un diagnostic émanant d'un expert (psychiatre) et s'appuyant lege artis sur les critères d'un système de classification reconnu (ATF 130 V 346 consid. 5.3 et 6). d)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(arrêt TF 9C_395/2007 du 15 avril 2008 consid. 2.2; ATF 124 V 265 consid. 3c).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w:t>
      </w:r>
    </w:p>
    <w:p>
      <w:r>
        <w:t>Tribunal cantonal TC Page 5 de 9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(arrêts TF 8C_356/2012 du 11 février 2013 consid. 3; 9C_960/2009 du 24 février 2010 consid. 2.2; 9C_395/2007 du 15 avril 2008 consid. 2.2; sur l'ensemble de la question, cf. arrêt TF I 169/06 du 8 août 2006 consid. 2.2 et les références citées).</w:t>
      </w:r>
    </w:p>
    <w:p>
      <w:r>
        <w:rPr>
          <w:b/>
        </w:rPr>
        <w:t>E. 3</w:t>
      </w:r>
    </w:p>
    <w:p>
      <w:r>
        <w:t>Pour pouvoir décider,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a)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b) Le juge peut accorder pleine valeur probante aux rapports et expertises établis par les médecins d'un assureur social.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w:t>
      </w:r>
    </w:p>
    <w:p>
      <w:r>
        <w:t>Tribunal cantonal TC Page 6 de 9 droit des assurances sociales, il y a lieu toutefois de poser des exigences sévères quant à l'impartialité de l'expert (ATF 125 V 353 consid. 3b/ee).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 c) Conformément à l'art. 59 al. 2, 1ère phr. LAI, les offices AI mettent en place des services médicaux régionaux interdisciplinaires. Selon l'art. 49 du règlement du 17 janvier 1961 sur l'assurance-invalidité (RAI; RS 831.201),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 peuvent au besoin procéder eux-mêmes à des examens médicaux sur la personne des assurés. Ils consignent les résultats de ces examens par écrit (al. 2). Les services médicaux régionaux se tiennent à la disposition des offices AI de leur région pour les conseiller (al. 3). Les rapports des SMR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les autorités appelées à statuer ont en effet le devoir d'examiner objectivement tous les documents à disposition, quelle que soit leur provenance, puis de décider s'ils permettent de porter un jugement valable sur le droit litigieux (arrêts TF 9C_542/2011 du 26 janvier 2012 consid. 4.1 et I 501/04 du 13 décembre 2005 consid. 4 et les références citées). La jurisprudence a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w:t>
      </w:r>
    </w:p>
    <w:p>
      <w:r>
        <w:rPr>
          <w:b/>
        </w:rPr>
        <w:t>E. 4</w:t>
      </w:r>
    </w:p>
    <w:p>
      <w:r>
        <w:t>En l'espèce, est litigieuse la question de savoir si le recourant peut prétendre à des prestations de l'assurance-invalidité, lesquelles dépendent d'une appréciation médicale de son état de santé. Dans son rapport du 18 novembre 2016, le Dr E.________, spécialiste FMH en psychiatrie et psychothérapie, atteste que des "troubles anxieux généralisés et dépressifs (F41.2)" et une "anxiété sociale" ont une incidence sur la capacité de travail de son patient. Par contre, en raison d'une abstinence, le diagnostic de "dépendance à l'alcool (F10.20)" n'a pas d'influence sur la dite capacité. Aux questions de l'annexe au rapport médical, le médecin répond que l'ancienne activité est encore exigible sans perte de rendement. Il ne cite pas de limitation fonctionnelle. Toutefois, dans le rapport médical dit "principal", il affirme que l'ancienne activité n'est plus du tout exigible et</w:t>
      </w:r>
    </w:p>
    <w:p>
      <w:r>
        <w:t>Tribunal cantonal TC Page 7 de 9 qu'il y a une "incapacité à assumer ses dernières fonctions mais [une] capacité à 100% pour reprendre une activité dans le domaine social" (dossier OAI, p. 126). Le Dr F.________, spécialiste FMH en anesthésiologie, du Service médical régional des offices AI, conteste la validité des conclusions du psychiatre traitant. Reprenant textuellement la définition d'un "trouble anxieux et dépressif mixte" selon l'ICD-10, il soutient que ce trouble est une affection de faible gravité ne permettant pas de justifier une incapacité de travail. Il reste en outre dubitatif devant le diagnostic d"anxiété sociale" chez un assuré considéré comme apte à travailler à 100% dans le domaine éducatif et social (dossier OAI, p. 124). Le médecin du SMR relève avec justesse que le rapport du psychiatre traitant n'est pas exempt de contradictions. Quand bien même on peut se référer à ses explications partielles du 3 avril 2017 (bordereau recours, pièce 3), force est de constater que le psychiatre soutient à la fois que l'ancienne activité est exigible et non-exigible, et que le recourant est en mesure de travailler dans le domaine social alors qu'il souffre d'anxiété sociale. Toutefois, sur le plan psychique, le rapport du Dr E.________ suffit à rendre plausible la présence d'une atteinte invalidante et indépendante d'une éventuelle dépendance, son patient étant déclaré abstinent à l'alcool dans l'ensemble des pièces au dossier. Or, il convient de tenir compte du fait que le médecin du SMR est spécialiste en anesthésiologie. Un avis médical d'ordre psychiatrique émis par un non spécialiste doit être appréhendé avec une certaine prudence, ainsi que la Cour l'a rappelé à plusieurs reprises tant à l'égard des médecins- SMR (cf. not. arrêts TC 608 2016 261 du 31 juillet 2017 consid. 5c, 608 2016 120 du 9 juin 2017 consid. 3b/bb) que des généralistes traitants (cf. not. arrêts TC 608 2016 108 du 11 avril 2017 consid. 5b/aa). On ne saurait en effet oublier que, de jurisprudence constante, l'existence – et par conséquence l'absence – d'une atteinte à la santé psychique suppose la présence d'un diagnostic émanant d'un psychiatre. En outre, force est de constater que le médecin SMR, en reprenant la définition de l'ICD-10 et en l'appliquant au cas d'espèce, procède à une démarche diagnostique dans un domaine qui n'est pas le sien et sans même avoir examiné l’assuré. Cette démarche et les conclusions qui en découlent ne sont appuyées par aucune autre pièce au dossier (cf. a contrario arrêt TC 608 2016 120 du 9 juin 2017 consid. 3b/bb; 608 2013 97 du 19 février 2015 consid. 3a/bb). Cela dépasse le rôle de conseil qui est reconnu au SMR par la jurisprudence. On le rappelle, lorsqu'il ne se fonde pas sur un examen clinique, le médecin SMR ne peut qu'indiquer quelle opinion médicale il convient de suivre ou, cas échéant, de proposer des investigations complémentaires (arrêt TF 9C_839/2015 du 2 mai 2016 consid. 3.3). Au demeurant, dans un rapport du 6 avril 2017, le Dr G.________, spécialiste FMH en médecine interne générale et en médecine tropicale et médecine des voyages, atteste que la capacité de travail de son patient est entière, sans perte de rendement, dans toute activité. Il affirme notamment qu'en "tant que technologue alimentaire" son patient ne souffre d'aucune "restriction physique hormis une légère diminution des capacités de marche par suite d'une neuropathie sensitive toxique". Par contre, "pour des raisons psychologiques", le médecin soutient qu'il "serait préférable que le patient se voie offrir une reconversion professionnelle dans un métier social" (dossier de la cause, pièce 10). Quand bien même ce rapport est postérieur à la décision litigieuse et ne saurait, à ce titre, permettre à la Cour de trancher la cause qui lui a été soumise, il confirme</w:t>
      </w:r>
    </w:p>
    <w:p>
      <w:r>
        <w:t>Tribunal cantonal TC Page 8 de 9 la thèse présentée par le Dr E.________ que l'état de santé psychique de son patient réduit sa capacité de travail dans son ancienne activité. Enfin, on ne saurait oublier que, dans son rapport du 18 août 2016, le Dr H.________, spécialiste FMH en neurologie, fait état de limitations d'ordre neurologique. Si le neurologue mentionne une "polyneuropathie toxique" (soit liée à l'utilisation d'alcool) et une "irritation S1 droite" comme diagnostics avec effet sur la capacité de travail, dans son rapport le plus récent du 27 mars 2017, il ne fait plus qu'état du diagnostic d'"syndrome lombo-radiculaire irritatif S1 droite". Le neurologue estime d'abord que l'ancienne activité exercée est encore exigible, mais affirme qu'elle ne peut être exercée que 6 heures par jours avec un rendement inconnu. Le 27 mars 2017, faisant désormais abstraction de la polyneuropathie toxique, le médecin précisera même que "d'un point de vue professionnel, le patient ne doit pas avoir une activité nécessitant des efforts physiques et sa conversion comme éducateur spécialisé m'apparaît optimale" (bordereau recours, pièce 5; dossier OAI, p. 162). Les limitations d'ordre neurologique mentionnées par le Dr H.________, lesquelles ne sont manifestement pas exclusivement liées à une consommation excessive d'alcool, n'ont pas été examinées par le Dr F.________. Lorsqu'il procède à la liste des rapports au dossier, celui-ci se contente de mentionner que le recourant "présente également une polyneuropathie alcoolique sans limitations fonctionnelles et sans incapacité de travail attestée par le neurologue". On le constate, il s'agit d'une lecture incomplète de l'avis du neurologue. Pour tous ces motifs, l'avis du médecin-SMR ne saurait être suivi. Pour leurs parts, les autres avis au dossier ne permettent pas à la Cour de céans de trancher le litige. Force est dès lors de constater que l'autorité intimée a statué sur la base d'un dossier incomplet. Dans ces circonstances, un renvoi à l’assureur apparaît justifié.</w:t>
      </w:r>
    </w:p>
    <w:p>
      <w:r>
        <w:rPr>
          <w:b/>
        </w:rPr>
        <w:t>E. 5</w:t>
      </w:r>
    </w:p>
    <w:p>
      <w:r>
        <w:t>a) Au vu de l'ensemble des éléments qui précèdent, le recours, bien fondé, doit être admis et le dossier renvoyé à l'autorité intimée pour mesures d'instructions complémentaires. b) Les frais de procédure, par CHF 800.-, sont mis à la charge de l'autorité intimée. c) Ayant obtenu gain de cause, le recourant, représenté par un mandataire professionnel, a droit à des dépens pour ses frais de défense. Le 23 mai 2017, celui-ci a fait parvenir de liste de frais. Celle-ci se monte à un total de CHF 2'823.50, soit CHF 2'545.70 (10h11 à CHF 250.-) au titre d'honoraires, CHF 68.55 au titre des frais et CHF 209.25 au titre de la TVA (8%). Ces dépens sont intégralement mis à la charge de l'autorité intimée. d) Compte tenu de l'admission du recours et de l'octroi d'une équitable indemnité de partie, la demande d'assistance-judiciaire totale (608 2017 89) est sans objet.</w:t>
      </w:r>
    </w:p>
    <w:p>
      <w:r>
        <w:t>Tribunal cantonal TC Page 9 de 9 la Cour arrête: I. Le recours (608 2017 88) est admis. Partant, la décision du 22 mars 2017 est annulée et le dossier renvoyé à l'autorité intimée pour instruction complémentaire et nouvelle décision dans le sens des considérants. II. La demande d'assistance-judiciaire totale (608 2017 89) est sans objet III. Les frais de procédure, par CHF 800.-, sont mis à la charge de l'autorité intimée. IV. L'indemnité de partie est fixée à CHF 2'823.50, dont CHF 209.25 au titre de la TVA (8%); ce montant est mis intégralement à la charge de l'autorité intimée.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septembre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