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58 vom 15. Januar 2018</w:t>
      </w:r>
    </w:p>
    <w:p>
      <w:r>
        <w:t>FR Kantonsgericht, 2018-01-15, FR</w:t>
      </w:r>
    </w:p>
    <w:p>
      <w:r>
        <w:rPr>
          <w:b/>
        </w:rPr>
        <w:t xml:space="preserve">Quelle: </w:t>
      </w:r>
      <w:r>
        <w:t>https://mcp.opencaselaw.ch/entscheid/fr_gerichte_608_2017_58</w:t>
      </w:r>
    </w:p>
    <w:p>
      <w:r>
        <w:t>FR: FR_GERICHTE 608 2017 58 du 15 janvier 2018</w:t>
      </w:r>
    </w:p>
    <w:p>
      <w:r>
        <w:t>IT: FR_GERICHTE 608 2017 58 del 15 gennaio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cette dernière n’entrant pas en linge de compte dans le cas présent.</w:t>
      </w:r>
    </w:p>
    <w:p>
      <w:r>
        <w:t>Tribunal cantonal TC Page 4 de 13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c)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(ATF 134 V 9 consid. 7.3.1).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champs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w:t>
      </w:r>
    </w:p>
    <w:p>
      <w:r>
        <w:t>Tribunal cantonal TC Page 5 de 13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(ATF 134 V 9 consid. 7.3.2 à 7.3.7).</w:t>
      </w:r>
    </w:p>
    <w:p>
      <w:r>
        <w:rPr>
          <w:b/>
        </w:rPr>
        <w:t>E. 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6 de 13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L'art. 69 al. 2 du règlement du 17 janvier 1961 sur l'assurance-invalidité (RAI; RS 831.201) prévoit, comme mesure d'instruction, la possibilité pour l'autorité de réaliser une visite domiciliaire. Telle est la possibilité, notamment, lorsqu'il s'agit d'assurés qui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w:t>
      </w:r>
    </w:p>
    <w:p>
      <w:r>
        <w:t>Tribunal cantonal TC Page 7 de 13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peut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(sur l'appréciation anticipée des preuves en général: ATF 140 I 285 consid. 6.3.1 et les références).</w:t>
      </w:r>
    </w:p>
    <w:p>
      <w:r>
        <w:rPr>
          <w:b/>
        </w:rPr>
        <w:t>E. 4</w:t>
      </w:r>
    </w:p>
    <w:p>
      <w:r>
        <w:t>Est litigieuse la question de savoir si l'assurée peut prétendre à une rente de l'AI, question qui dépend d'une appréciation médicale de son état de santé. Il est d'emblée possible de constater que l'application de la méthode mixte, la répartition entre les activités professionnelle et ménagère (50/50), les pondérations des différents travaux ménagers, de même que les degrés d'empêchement ne sont pas contestés par la recourante. a) S'agissant de la part relative à l'activité professionnelle, il convient de se référer au dossier médical. Dans un rapport du 2 novembre 2015, le Dr E.________, généraliste FMH œuvrant auprès du SMR, rappelle l'évolution de l'état de santé de l'assurée, et en particulier une incapacité de travail complète depuis le mois de mars 2013, "suite à un accident vasculaire cérébral avec hémorragie sous-arachnoïdienne sur rupture d'anévrisme du siphon carotidien gauche survenu au travail". S'en est suivie une première hospitalisation, avec intervention (embolisation), puis une seconde en novembre 2015 (recte: 2014), pour stent de l'artère cérébrale, en lien avec des céphalées: "Depuis son accident vasculaire cérébral, elle présente des accès de migraine fréquents calmés sous traitement de Topamax® qui a la tendance d'aggraver un syndrome de Sjögren (sécheresse généralisée des muqueuses) investigué par le Dr D.________ ainsi que des céphalées frontales et rétro-oculaires bilatérales répétitives". Il recommande une évaluation sur le plan neurologique et rhumatologique. Le Dr F.________, spécialiste FMH en rhumatologie et médecine interne, remet son rapport d'expertise le 13 avril 2016. Dans le cadre de son anamnèse, celui-ci rappelle notamment la première demande de prestations AI déposée par l'assurée en août 2003, en lien avec des problèmes lombaires; il mentionne par ailleurs la présence d'un cancer du pancréas, découvert en 2010 et traité chirurgicalement, avec une évolution favorable depuis. Il se penche ensuite en détail sur les consultations qui ont débuté en 2013, liées à des céphalées. Les spécialistes du CHUV, où elle séjournera environ deux semaines, concluront à un anévrisme non rompu hypophysaire supérieur gauche. La persistance des céphalées conduira à de nouveaux examens qui aboutiront, en novembre 2014, à une intervention (reperméabilisation partielle en post-coiling d'un anévrisme du siphon carotidien gauche). Dès 2015, l'assurée est prise en charge par le Dr D.________, qui soupçonne un diagnostic de syndrome de Sjögren débutant. Au niveau des plaintes, l'assurée mentionne l'apparition d'arthralgies inflammatoires des articulations périphériques, persistant malgré un traitement; elle annonce aussi des cervico-brachialgies mal systématisées occasionnelles. Au quotidien, elle se déclare indépendante pour la tenue du foyer, mais a néanmoins besoin de l'aide de sa mère pour les travaux ménagers. Très occupée par l'éducation de ses quatre enfants, elle estime ne pas pouvoir retravailler en raison de ses céphalées, de son état de fatigue, associé à une importante sécheresse des muqueuses, ainsi que des douleurs</w:t>
      </w:r>
    </w:p>
    <w:p>
      <w:r>
        <w:t>Tribunal cantonal TC Page 8 de 13 articulaires. Au terme de l'examen clinique, le Dr F.________ retient les diagnostics suivants, avec influence sur la capacité de travail: syndrome de Sjögren et status après pancréatomie caudale avec splénectomie totale. Sont par contre considérés comme sans effet sur la capacité de travail les diagnostics suivants: pancréatite sur lithiase biliaire en 2003, status après la maladie de Basedow ancienne avec exophtalmie résiduelle actuellement euthyroïdienne, cervico-lombalgies aspécifiques intermittentes et asthme anamnestique. Des diagnostics neurologiques (status après anévrisme et migraines chroniques anamnestiques) sont également évoqués, l'expert renvoyant toutefois à l'avis de son confrère neurologue. A la discussion, il exclut d'emblée la présence d'une amplification des symptômes ou d'une fibromyalgie, mais note l'existence de synovites modérées aux articulations des mains. Du point de vue rhumatologique strict, "on peut confirmer l'existence d'une maladie inflammatoire rhumatismale active cliniquement qui a été diagnostiquée en 2015 par le Dr D.________, sous la forme d'un syndrome de Sjögren […]. Présentement, on peut en outre estimer que l'atteinte rachidienne dont elle avait souffert en 2002-2003 est en rémission avec juste d'occasionnelles douleurs cervico-lombaires qui n'entravent pas la capacité de travail. Enfin, il n'y a pas d'éléments extra-médicaux manifestes, hormis le fait que l'assurée élève quatre enfants et qu'elle ne dispose d'aucune formation professionnelle certifiée et qu'elle n'a tout au plus travaillé que pendant quelques mois comme femme de chambre en 2002, en interrompant ensuite toute activité pour éduquer ses enfants. Préalablement à l'atteinte neurologique survenue en 2013, elle avait retravaillé durant quelques semaines en tant que caissière diplômée au sein de l'entreprise C.________. Enfin, il peut également y avoir un état de fatigue lié à l'atteinte à la santé anamnestique de son dernier enfant, qui souffrirait de problèmes psychiatriques, à savoir d'une atteinte d'hyperactivité". Globalement, estimant que l'intensité des douleurs rapportées par l'assurée est cohérente avec les constatations objectives, l'expert arrive à la conclusion suivante: "On peut estimer que l'assurée a une capacité de travail d'un point de vue rhumatologique seul à cause de son rhumatisme inflammatoire qui est de 50% (d'un plein temps) et cela dans une activité ménagère ou de vendeuse, et cela en tenant compte d'une baisse de rendement depuis l'apparition de l'atteinte à la santé rhumatologique, c'est-à-dire depuis le début de l'année 2015". Le Dr G.________, spécialiste FMH en neurologie, remet son rapport d'expertise le 17 juin 2016. Après avoir établi l'anamnèse et rappelé en détail l'évolution neurologique ainsi que les plaintes de l'assurée (en résumé: persistance de céphalées présentes depuis 2013 et constipation chronique), l'expert a procédé à un examen clinique. Au terme dudit examen, il retient le diagnostic de céphalées mixtes vasomotrices (migraineuses), tensionnelles et probablement médicamenteuses (depuis mars 2013); d'autres diagnostics ne présentent selon lui pas d'impact sur la capacité de travail: status après traitement endovasculaire (coiling) d'un anévrisme sur l'artère carotide interne gauche, status après réintervention pour reperméabilisation de l'anévrisme carotidien gauche (novembre 2014) et maladie de Ménière. Dans sa discussion du cas, l'expert relève tout d'abord que les rachialgies cervico-lombaires, déjà évoquées par le Dr F.________, ne comportent pas de manifestations neurologiques et ne justifient dès lors pas d'incapacité de travail. Des problèmes vertigineux, signalés par l'expertisée et évoquant une maladie de Ménière, font l'objet d'un traitement spécifique; cette atteinte, active de façon intermittente, présente une évolution favorable et ne représente dès lors pas un motif d'incapacité de travail selon l'expert. Au plan purement neurologique, "le problème principal sur le plan de la capacité de travail est donc les céphalées dont A.________ souffre depuis l'épisode de mars 2013 ayant conduit à la découverte de l'anévrisme carotidien gauche après un malaise ayant fait évoquer une rupture d'anévrisme". L'expert relève tout d'abord que le rôle dudit anévrisme dans les céphalées est "indéterminé", dès lors que la rupture, et donc un saignement, ne sont pas certains. Subsistent dès lors les maux de</w:t>
      </w:r>
    </w:p>
    <w:p>
      <w:r>
        <w:t>Tribunal cantonal TC Page 9 de 13 tête: "il est clair que ces maux de tête évoquent des céphalées mixtes avec une composante tensionnelle mais également des phénomènes migraineux aigus à raison d'un épisode toutes les 2 à 3 semaines évoquant des phénomènes migraineux. Il est probable également qu'il existe une composante liée à l'importance de la médication prise régulièrement. Dans le contexte global, des facteurs psychogènes entrant dans la composante tensionnelle mais également migraineuse des troubles ne sont pas à écarter". L'expert retient que "les troubles neurologiques ne représentent pas une cause additionnelle d'incapacité de travail par rapport à l'incapacité purement médicale, soit l'incapacité de 50% retenue par le Dr F.________ dans l'activité exercée jusqu'ici ainsi que dans toute autre activité potentiellement exigible respectant les quelques limitations fonctionnelles retenues par le Dr F.________. Pour les éléments précités, nous retiendrons donc une incapacité de travail globale ("neurologique et rhumatologique") de 50%". Il recommande enfin, par mesure de prudence, d'éviter une activité physiquement trop exigeante, risquant de provoquer une rupture anévrismale. Dans un rapport du 17 novembre 2016, le Dr D.________, spécialiste FMH en médecine physique et réadaptation, conclut à une capacité de travail de 50%, mais avec un rendement réduit de 50%, en raison d'un déficit de concentration ainsi que d'une fatigabilité. Dans un rapport du 20 décembre 2016, le médecin SMR retient que l'avis du Dr D.________ constitue une appréciation différente d'un status globalement identique à celui des experts, de sorte qu'il ne remet pas en question les conclusions de ces derniers, qui ont tenu compte de l'ensemble de la symptomatologie de l'assurée. b) Appelée à statuer, la Cour de céans estime que la cause est suffisamment instruite pour trancher. Sur la base de ce qui précède, la Cour de céans constate que les expertises du Dr F.________ et du Dr G.________ se fondent sur des examens complets et ont été établies en pleine connaissance du dossier, après que les experts aient reçu personnellement la recourante. Elles prennent également en considération les plaintes exprimées et les points litigieux importants ont fait l'objet d'une étude fouillée. Enfin, l'appréciation médicale est claire et les conclusions des experts sont dûment motivées. Dès lors que les expertises sont en tous points conformes aux réquisits jurisprudentiels, elles ont en soi pleine valeur probante. Au plan rhumatologique, les plaintes évoquent des arthralgies inflammatoires des articulations périphériques, ainsi que des cervico-rachialgies mal systématisées occasionnelles; l'assurée mentionne également des céphalées, un important état de fatigue associé à une importante sécheresse des muqueuses. Au plan clinique, l'accent est mis sur la maladie inflammatoire, le syndrome de Sjögren pouvant "expliquer une partie des céphalées rapportées par l'assurée, compte tenu de l'importante sécheresse oculaire et ophtalmique, et d'un état de fatigue, symptôme cardinal de cette atteinte". Cette maladie inflammatoire justifie selon l'expert une baisse de rendement, que ce soit dans une activité lucrative ou dans l'accomplissement des tâches ménagères. Les problèmes rachidiens ne justifient par contre aucune limitation fonctionnelle significative et n'entraînent dès lors pas d'incapacité de travail. Sous l'angle neurologique, les atteintes suivantes ont été prises en compte: des cervico- lombalgies, des phénomènes vertigineux (maladie de Ménière), un anévrisme carotidien et des céphalées. L'expert a toutefois retenu que "la maladie de Ménière, les cervico-lombalgies, les différents problèmes de santé médicaux et le status après les diverses interventions chirurgicales</w:t>
      </w:r>
    </w:p>
    <w:p>
      <w:r>
        <w:t>Tribunal cantonal TC Page 10 de 13 ne représentent pas une cause d'incapacité de travail. Le syndrome de Sjögren et le status après laparotomie exploratrice pour néoplasie pancréatique ont déjà été appréciés par le Dr F.________ et représentent une cause d'incapacité de travail globale de 50% incluant donc les éléments neurologiques qui ne représentent pas, en soi, une cause additionnelle d'incapacité de travail". De l'avis de la Cour de céans, en retenant globalement à une réduction de la capacité de travail de 50% - tenant compte non seulement des problématiques rhumatologique et neurologique, mais également d'une baisse de rendement -, ces deux expertises parviennent donc à peindre un tableau plutôt clair de la situation médicale de l'assurée et à fournir des explications à ses multiples plaintes, dont un grand nombre trouve son origine dans le syndrome inflammatoire retenu par le Dr F.________. Ce dernier a également évalué l'impact de ces plaintes sur la vie quotidienne de l'assurée, relevant notamment qu'elle restait capable d'assumer une bonne partie des tâches ménagères, mais qu'elle avait besoin de l'aide de sa mère pour les travaux plus contraignants. La recourante estime cependant que l'évaluation de la capacité de travail présente une incohérence, en ce sens que les experts ont apprécié les répercussions des diagnostics uniquement sur une pleine capacité de travail. Or, ce faisant, ils ne tiennent compte d'aucune répercussion sur sa capacité de travail à 50% alors que, même à un tel taux d'activité, elle subirait une baisse de rendement. En soi, le fait pour les experts de se référer à une activité à plein temps pour fixer le degré d'invalidité n'est pas discutable, dès lors que ce procédé est admis par la jurisprudence (cf. arrêt TF 9C_648/2010 du 10 août 2011 consid. 3.6.3 et les références). Cela étant, il convient de relever que lesdits experts ont procédé à une analyse soigneuse du dossier et ils précisent en particulier que la capacité résiduelle de travail a été fixée non seulement "en tenant compte du taux de présence et de rendement", mais également en excluant "des facteurs étrangers à l'invalidité". Sous cet angle, leur appréciation ne semble donc pas critiquable, dès lors qu'il est établi, de manière suffisamment claire, que la recourante dispose, dans l'exercice d'une activité lucrative, d'une capacité de 50%. A cet égard, le dernier rapport établi par le Dr D.________, à la suite du projet de décision de l'OAI, s'éloigne de l'appréciation des experts et atteste en outre d'une diminution de rendement de 50% dans une activité à 50%. Cet avis n'est cependant nullement motivé et n'indique en particulier pas pourquoi il s'écarte de sa précédente appréciation du 10 juin 2015 (dans laquelle il attestait d'une pleine capacité de travail avec un rendement réduit de 10 à 20% seulement). Tout au plus serait-il possible envisager une baisse de rendement due à l'influence réciproque des activités ménagère et professionnelle (cf. supra consid. 2c). Avant d'aborder cette éventualité, il convient d'examiner l'invalidité dans la partie ménagère. c) Comme mentionné plus haut, l'application de la méthode mixte n'est pas contestée par la recourante, laquelle a notamment confirmé, dans le cadre de l'enquête ménagère réalisée en août 2016, que, sans atteinte à la santé, elle aurait travaillé à 50%; cela est au demeurant tout à fait plausible au vu de sa situation familiale (quatre enfants d'âge scolaire à charge) et de ses précédentes activités, toutes exercées à temps partiel, en particulier la dernière, auprès de C.________ à 50%. Il convient donc de s'y référer. De même, les pondérations des différents</w:t>
      </w:r>
    </w:p>
    <w:p>
      <w:r>
        <w:t>Tribunal cantonal TC Page 11 de 13 travaux ménagers, ainsi que les degrés d'empêchement ne sont pas remis en cause par la recourante. La Cour de céans ne décèle en tous les cas aucun motif de remettre en cause l'enquête réalisée par l'autorité intimée ainsi que les conclusions qui en ont été tirées, dès lors qu'elles sont conformes aux conditions posées par la jurisprudence (cf. supra consid. 4c). Par conséquent, le taux d'invalidité de 26% pour la partie ménagère peut être avalisé par la Cour de céans. Il convient ici de relever que, contrairement à l'avis de l'autorité intimée, l'allégation par l'assurée d'une éventuelle séparation d'avec son mari pourrait avoir une influence sur l'évaluation de son degré d'invalidité dans la partie ménagère. Compte tenu de l'aide, documentée dans l'enquête ménagère, que ce dernier lui apporte dans certaines tâches, il n'est en effet pas exclu que le calcul s'en trouve modifié. De même est-il possible que cet évènement conduise à la modification de la répartition des activités (professionnelle et ménagère) de la recourante. Cette question doit toutefois faire l'objet d'une nouvelle demande, dès lors qu'il s'agit d'un fait postérieur à la décision litigieuse, qui plus est pas formellement établi, qui sort donc du cadre du présent litige. d) En résumé, le calcul effectué par l'OAI, consistant à retenir l'absence d'empêchement dans la partie lucrative, ainsi qu'un empêchement de 26% dans la partie ménagère, ce qui aboutit à un degré d'invalidité global de 13%, peut être avalisé par la Cour de céans. Comme mentionné plus haut (cf. supra consid. 5c in fine), la question de l'influence réciproque des activités lucrative et ménagère pourrait éventuellement se poser. Cela étant, dans la mesure où la jurisprudence admet que dite influence ne saurait dépasser 15%, il ressort à l'évidence que le degré d'invalidité qui en découlerait reste largement inférieur à 40%, étant ici rappelé qu'une double prise en considération (dans la partie lucrative et dans la partie ménagère) n'est pas possible. Par surabondance convient-il de noter que, quand bien même l'on se baserait sur la capacité de travail admise par le médecin traitant, soit un taux d'activité de 50% avec un rendement diminué de 50%, il résulterait un degré d’invalidité de 50 x 50% (part lucrative) + 26 x 50% (part ménagère) = 25% + 13% = 38%, lequel se situerait toujours en-dessous de la limite de 40% susceptible d'ouvrir le droit à une rente. Etant entendu que, dans ce cas, un abattement supplémentaire résultant de l'influence réciproque des activités ne se justifie plus. Au vu de ce qui précède, le recours doit être rejeté et la décision attaquée confirmée.</w:t>
      </w:r>
    </w:p>
    <w:p>
      <w:r>
        <w:rPr>
          <w:b/>
        </w:rPr>
        <w:t>E. 5</w:t>
      </w:r>
    </w:p>
    <w:p>
      <w:r>
        <w:t>La recourante a requis le bénéfice de l'assistance judiciaire gratuite, partielle tout d'abord, puis totale au stade des contre-observations. a) Selon l'art. 61 let. f, 2ème phr. LPGA, lorsque les circonstances le justifient, l'assistance judiciaire gratuite est accordée au recourant. Aux termes de l'art. 142 du Code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w:t>
      </w:r>
    </w:p>
    <w:p>
      <w:r>
        <w:t>Tribunal cantonal TC Page 12 de 13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b) S'agissant de la première condition, il ressort du dossier que les revenus de la famille de la requérante consistent en le salaire de son époux. La fiche de salaire des mois de février et mars 2017, produite à l'appui de la requête d'AJT, mentionne un salaire net de plus de CHF 8'300.-, allocations familiales comprises, tandis que la fiche du mois de décembre 2016 mentionne le versement d'un 13ème salaire. Il est donc possible de tabler sur un revenu mensuel moyen de CHF 8'992.- nets (CHF 8'300.- x 13 :12). Au chapitre des dépenses, le montant des intérêts hypothécaires (CHF 140'000.- à 1.77% et CHF 480'000.- à 1.66%) se monte à CHF 870.- par mois; aucune charge n'a été invoquée, mais on peut estimer d'office que celles-ci peuvent se situer aux alentours de CHF 400.- par mois. Les primes d'assurance-maladie s'élèvent à CHF 815.55 par mois selon l'attestation produite par la recourante. On peut se questionner sur la nécessité de deux véhicules automobiles, l'assurée étant sans emploi; un forfait de CHF 150.- par mois est dès lors retenu, correspondant à la prime d'assurance et à l'impôt pour le véhicule le plus coûteux (1'383.- + 425.- : 12). S'ajoutent encore CHF 836.05 d'impôts (CHF 431.40 au plan cantonal selon les pièces remises et CHF 404.65 au plan communal, sur la base d'un taux d'imposition de 93.8%). Il convient d'ajouter le minimum vital, soit CHF 1'700.-, correspondant à un couple marié, plus CHF 800.- pour deux enfants de moins de</w:t>
      </w:r>
    </w:p>
    <w:p>
      <w:r>
        <w:rPr>
          <w:b/>
        </w:rPr>
        <w:t>E. 10</w:t>
      </w:r>
    </w:p>
    <w:p>
      <w:r>
        <w:t>ans et CHF 1'200.- pour deux enfants de plus de 10 ans, pour un total de CHF 3'700.-, augmentés de 25%, soit CHF 4'625.-. Le total des dépenses atteint ainsi CHF 7'696.-. Il découle de ce qui précède que la recourante et sa famille disposent d'un solde positif de CHF 1'296.- (8'892 – 7'696), soit de ressources suffisantes pour supporter les frais de la procédure introduite le 21 mars 2017 sans s’exposer à la privation des choses nécessaires à son existence. La condition des rigueurs financières n'étant pas remplie, il se justifie dès lors de rejeter la requête d'assistance judiciaire (608 2017 76), sans qu'il ne soit nécessaire d'examiner l'autre condition (chances de succès). c) La procédure n'étant pas gratuite (art. 69 al. 1bis LAI), les frais de justice, par CHF 800.-, sont mis à la charge de la recourante qui succombe. Il n'est pas alloué de dépens, vu l'issue du litige.</w:t>
      </w:r>
    </w:p>
    <w:p>
      <w:r>
        <w:t>Tribunal cantonal TC Page 13 de 13 la Cour arrête: I. Le recours (608 2017 58) est rejeté. II. La requête d'assistance judiciaire gratuite totale (608 2017 76) est rejetée pour la procédure de recours introduite le 21 mars 2017. III. Les frais de procédure, par CHF 800.-, sont mis à la charge de la recourante.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janvier 2018/mba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