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52 vom 18. Juli 2017</w:t>
      </w:r>
    </w:p>
    <w:p>
      <w:r>
        <w:t>FR Kantonsgericht, 2017-07-18, FR</w:t>
      </w:r>
    </w:p>
    <w:p>
      <w:r>
        <w:rPr>
          <w:b/>
        </w:rPr>
        <w:t xml:space="preserve">Quelle: </w:t>
      </w:r>
      <w:r>
        <w:t>https://mcp.opencaselaw.ch/entscheid/fr_gerichte_608_2017_52</w:t>
      </w:r>
    </w:p>
    <w:p>
      <w:r>
        <w:t>FR: FR_GERICHTE 608 2017 52 du 18 juillet 2017</w:t>
      </w:r>
    </w:p>
    <w:p>
      <w:r>
        <w:t>IT: FR_GERICHTE 608 2017 52 del 18 luglio 2017</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Selon l'art. 4 al. 1 let. c de la loi du 6 octobre 2006 sur les prestations complémentaires à l'AVS et à l'AI (LPC; RS 831.30), les personnes qui ont leur domicile et leur résidence habituelle en</w:t>
      </w:r>
    </w:p>
    <w:p>
      <w:r>
        <w:t>Tribunal cantonal TC Page 3 de 6 Suisse ont droit à des prestations complémentaires dès lors qu'elles ont droit à une rente ou à une allocation pour impotent de l'assurance-invalidité (AI) ou perçoivent des indemnités journalières de l'AI sans interruption pendant six mois au moins. b) Le montant de la prestation complémentaire annuelle correspond, en vertu de l'art. 9 al. 1 LPC, à la part des dépenses reconnues qui excède les revenus déterminants. L'art. 11 al. 1 LPC prescrit que les revenus déterminants comprennent les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ainsi que les rentes, pensions et autres prestations périodiques, y compris les rentes de l’AVS et de l’AI (let. d). La let. g de cet alinéa prescrit en outre que les revenus déterminants comprennent les ressources et parts de fortune dont un ayant droit s'est dessaisi. L'art. 9 al. 5 LPC prévoit que le Conseil fédéral édicte des dispositions sur l’addition des dépenses reconnues et des revenus déterminants de membres d’une même famille; il peut prévoir des exceptions, notamment pour ceux des enfants qui donnent droit à une rente pour enfant de l’AVS ou de l’AI (let. a). Il édicte également des règles sur l'évaluation des revenus déterminants, des dépenses reconnues et de la fortune (let. b). c)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du code civil (CC; RS 210),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TF 9C_240/2010 du 3 septembre 2010 consid. 4.1). Cette jurisprudence correspond à celle rendue sous l'empire de l'ancienne LPC (art. 3 al. 1 let. g aLPC) qui souligne que la disposition était directement applicable lorsque le conjoint d'une personne assurée s'abstenait de mettre en valeur sa capacité de gain, alors qu'il se voit obligé d'exercer une activité lucrative en vertu de l'art. 163 CC. Il appartenait à l'administration ou, en cas de recours, au juge d'examiner si l'on pouvait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ont notamment trait à l'âge de la personne, à son état de santé, à ses connaissances linguistiques, à sa formation professionnelle,</w:t>
      </w:r>
    </w:p>
    <w:p>
      <w:r>
        <w:t>Tribunal cantonal TC Page 4 de 6 à l'activité exercée jusqu'ici, au marché de l'emploi, et le cas échéant, au temps plus ou moins long pendant lequel la personne aura été éloignée de la vie professionnelle (arrêt TF 8C_722/2007 du 17 juillet 2008 consid. 3.1). C'est également ce que mentionne la directive concernant les prestations complémentaires à l’AVS et à l’AI de l'Office fédéral des assurances sociales (ci-après: la directive; état au 1er janvier 2016). Selon cette dernière,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PC [prestations complémentaires], celui-ci devrait être placé dans un home. La tenue du ménage en faveur du conjoint ou des enfants ne permet toutefois pas de renoncer à la prise en compte d'un revenu hypothétique" (ch. 3482.03). d) Selon la jurisprudence, il ne se justifie pas pour fixer le revenu hypothétique de l'épouse de faire appel, même par analogie, aux normes schématiques des art. 14a et 14b de l'ordonnance du 15 janvier 1971 sur les prestations complémentaires à l'assurance-vieillesse, survivants et invalidité (OPC-AVS/AI; RS 831.301), du moment que ces dispositions réglementaires visent des situations bien particulières et que leur application ne saurait être étendue à d'autres cas non expressément envisagés par le Conseil fédéral (ATF 117 V 292 consid. 3c; arrêt TF P 13/01 du 25 février 2002). Selon la directive, pour le revenu hypothétique à prendre en compte, les organes se réfèrent aux tables de l'Enquête suisse sur la structure des salaires (ci-après: ESS). Ce faisant, il s'agit de salaires bruts.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et le cas échéant les frais de garde des enfants. Du revenu net ainsi obtenu, il faut déduire le montant non imputable [de CHF 1'000.- pour les personnes seules et CHF 1'500.- pour les couples et les personnes avec enfants], le solde étant pris en compte pour les deux tiers (directive, ch. 3482.04). e) Il importe,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w:t>
      </w:r>
    </w:p>
    <w:p>
      <w:r>
        <w:t>Tribunal cantonal TC Page 5 de 6 Sous l’angle du calcul PC, les principes susmentionnés peuvent être mis en œuvre, s’agissant de la reprise ou de l’extension d’une activité lucrative, par l’octroi à la personne concernée d’une période – réaliste – d’adaptation, avant d’envisager la prise en compte d’un revenu hypothétique (pratique VSI 2001 p. 128; arrêt TF 9C_630/2013 du 29 septembre 2014 consid. 5.2 et 3; directive, ch. 3482.06).</w:t>
      </w:r>
    </w:p>
    <w:p>
      <w:r>
        <w:rPr>
          <w:b/>
        </w:rPr>
        <w:t>E. 3</w:t>
      </w:r>
    </w:p>
    <w:p>
      <w:r>
        <w:t>En l'espèce, le litige porte sur le montant des prestations complémentaires auquel le recourant a droit à partir du 1er janvier 2017, en particulier sur la question de la prise en compte d'un revenu hypothétique imputé à son épouse. Dans ce contexte, est seule litigieuse la question de savoir si celle-ci a prouvé à satisfaction que, malgré ses recherches, elle n’a pas été en mesure de réaliser un revenu. Les autres conditions permettant la prise en compte du revenu hypothétique et les autres montants ressortant de la décision litigieuse ne sont pas contestés et aucun indice au dossier ne laisse penser que ceux-ci ne représentent pas la situation financière des intéressés, de sorte qu'ils ne souffrent pas la critique. Conformément à la jurisprudence du Tribunal fédéral, le principe de la solidarité entre les conjoints impose à l'épouse de l'assuré de prendre un emploi afin de pourvoir à l'entretien de la famille. Du dossier de la cause, il ressort que le recourant a été invité, le 24 janvier 2017, à produire les preuves relatives aux demandes d’emploi de son épouse depuis avril 2016. Auparavant, par courrier du 1er septembre 2015, l’épouse de l’assuré avait été explicitement invitée à procéder à un minimum de deux recherches écrites par semaine et à en conserver des photocopies, ainsi que les réponses reçues. Il était également indiqué que ces documents seraient demandés ultérieurement. Or, le recourant a produit treize offres d’emploi, dont seules deux concernent la période depuis avril 2016. Dans ces circonstances, le Tribunal ne peut que confirmer que de telles recherches sont quantitativement manifestement insuffisantes pour permettre d'assurer que c’est en raison de la situation sur le marché du travail que l’épouse du recourant ne parvient pas à percevoir un gain. Il y a également lieu de constater que ce dernier a été suffisamment informé des démarches qu’on attendait de son épouse et celle-ci – ne s’y conformant pas – a pris le risque que la Caisse continue à lui imputer un revenu hypothétique. Le recourant était d’ailleurs au courant de cette façon de procéder, puisque la Caisse lui avait déjà imputé un revenu hypothétique pour ce même motif par décision du 12 avril 2016. Dans ces conditions, il ne suffit manifestement pas que le recourant allègue que son épouse a été placée à différents endroits par l’ORP et qu’elle a suivi des formations; en effet, cela ne l’empêchait pas de continuer ses recherches de travail. Partant, c'est à juste titre que la Caisse a tenu compte d'un revenu hypothétique dans le calcul du montant de la prestation complémentaire.</w:t>
      </w:r>
    </w:p>
    <w:p>
      <w:r>
        <w:rPr>
          <w:b/>
        </w:rPr>
        <w:t>E. 4</w:t>
      </w:r>
    </w:p>
    <w:p>
      <w:r>
        <w:t>Au vu des considérants qui précèdent, il convient de rejeter le recours et de confirmer la décision sur opposition du 16 février 2017. En application du principe de la gratuité prévalant en la matière, il n'est pas perçu de frais de justice.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juillet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