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39 vom 30. Oktober 2017</w:t>
      </w:r>
    </w:p>
    <w:p>
      <w:r>
        <w:t>FR Kantonsgericht, 2017-10-30, FR</w:t>
      </w:r>
    </w:p>
    <w:p>
      <w:r>
        <w:rPr>
          <w:b/>
        </w:rPr>
        <w:t xml:space="preserve">Quelle: </w:t>
      </w:r>
      <w:r>
        <w:t>https://mcp.opencaselaw.ch/entscheid/fr_gerichte_608_2017_39</w:t>
      </w:r>
    </w:p>
    <w:p>
      <w:r>
        <w:t>FR: FR_GERICHTE 608 2017 39 du 30 octobre 2017</w:t>
      </w:r>
    </w:p>
    <w:p>
      <w:r>
        <w:t>IT: FR_GERICHTE 608 2017 39 del 30 ottobre 2017</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w:t>
      </w:r>
    </w:p>
    <w:p>
      <w:r>
        <w:rPr>
          <w:b/>
        </w:rPr>
        <w:t>E. 2</w:t>
      </w:r>
    </w:p>
    <w:p>
      <w:r>
        <w:t>a)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 en moyenne durant une année sans interruption notable (let. b) et si, au terme de cette année, il est invalide (art. 8 LPGA) à 40 % au moins (al. 1). La rente est échelonnée selon le taux d'invalidité (al. 2).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w:t>
      </w:r>
    </w:p>
    <w:p>
      <w:r>
        <w:t>Tribunal cantonal TC Page 4 de 11 empêcher en faisant preuve de bonne volonté ; la mesure de ce qui est exigible doit être déterminée aussi objectivement que possible (art. 7 al. 2 2ème phrase LPGA; ATF 141 V 281 consid. 3.7.1; 102 V 165; VSI 2001 p. 223 consid. 2b et les références citées; cf. également ATF 127 V 294 consid. 4c i. f.).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c) Selon l'art. 17 LPGA, si le taux d'invalidité du bénéficiaire de la rente subit une modification notable, la rente est, d'office ou sur demande, révisée pour l'avenir, à savoir augmentée ou réduite en conséquence, ou encore supprimée. Lorsque l'administration est entrée en matière sur la nouvelle demande et la rejette au fond, un recours contre cette décision doit être examinée au regard des conditions de la révision du droit à la rente (art. 17 LPGA), applicables par analogie à l'examen des conditions matérielles d'une nouvelle demande (ATF 130 V 64 consid. 2 ; arrêts TF I 329/05 du 10 février 2006 consid. 1.1 et I 152/01 du 11 septembre 2001 consid. 1b ; VSI 1999 84 consid. 1b).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 7 juillet 2011 consid. 3.2 a contrario).</w:t>
      </w:r>
    </w:p>
    <w:p>
      <w:r>
        <w:t>Tribunal cantonal TC Page 5 de 11</w:t>
      </w:r>
    </w:p>
    <w:p>
      <w:r>
        <w:rPr>
          <w:b/>
        </w:rPr>
        <w:t>E. 3</w:t>
      </w:r>
    </w:p>
    <w:p>
      <w:r>
        <w:t>a)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b)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c)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La jurisprudence a néanmoins souligné que le rapport d'un Service médical régional qui ne se fonde pas sur un examen clinique est une simple recommandation qui ne peut avoir pour</w:t>
      </w:r>
    </w:p>
    <w:p>
      <w:r>
        <w:t>Tribunal cantonal TC Page 6 de 11 objet que d’indiquer quelle opinion médicale il convient de suivre ou, cas échéant, de proposer des investigations complémentaires (arrêt TF 9C_839/2015 du 2 mai 2016 consid. 3.3).</w:t>
      </w:r>
    </w:p>
    <w:p>
      <w:r>
        <w:rPr>
          <w:b/>
        </w:rPr>
        <w:t>E. 4</w:t>
      </w:r>
    </w:p>
    <w:p>
      <w:r>
        <w:t>En l’espèce, le litige porte sur la question de savoir si l'état de santé du recourant s'est aggravé au point de désormais justifier l'octroi de prestations AI, respectivement si un renvoi du dossier à l'OAI pour instruction complémentaire est nécessaire. Il s'agit dès lors de comparer ici les faits qui prévalaient au moment de la décision attaquée avec ceux prévalant lors du refus initial de rente du 30 juillet 2004, confirmé sur opposition le</w:t>
      </w:r>
    </w:p>
    <w:p>
      <w:r>
        <w:rPr>
          <w:b/>
        </w:rPr>
        <w:t>E. 5</w:t>
      </w:r>
    </w:p>
    <w:p>
      <w:r>
        <w:t>Dans sa décision du 18 janvier 2017, l'OAI a considéré que le recourant ne présentait aucune atteinte invalidante. A titre liminaire, la Cour souligne que, selon une jurisprudence récente, la surveillance secrète porte atteinte au respect de la vie privée, en l'absence d'une base légale suffisamment claire et détaillée permettant d'observer les bénéficiaires de rentes de l'assurance invalidité et de l'assurance-accidents (arrêt TF 9C_806/2016 du 14 juillet 2017 consid. 4). Toutefois, il est en principe admissible d'exploiter les résultats de la surveillance (et de ce fait, d'autres preuves fondées sur celui-ci) à moins qu'il ne résulte de la pesée des intérêts en présence que les intérêts privés prévalent sur les intérêts publics (arrêt TF 9C_817/2016 du 25 septembre 2017 consid. 3.3.1). Cela étant, le rapport de surveillance n'a manifestement pas été essentiel à la survenance du présent litige. Dans ces circonstances, la Cour renonce à procéder à une telle pesée d'intérêt. Le rapport de surveillance rendu par la société F.________ le 1er mars 2016 est écarté du dossier et il n'en sera pas tenu compte dans le cadre de la solution du présent litige. a) Sur le plan psychiatrique, l'OAI s'est référée à l'expertise du Dr G.________ du 17 octobre 2016. L'expert y fait état des diagnostics, non invalidants, de "syndrome douloureux somatoforme persistant (F45.4)", de "dysphorie/dysthymie (F34.1)", d'"accentuation de certains traits de personnalité, ici surtout sous forme de défenses caractérielles (Z73.1)" et de "majoration de symptômes pour des raisons psychologiques et sociales (F68.0)". Selon l'expert, "théoriquement, du point de vue psychiatrique, l'activité exercée en dernier lieu est exigible et ceci depuis toujours" (dossier OAI, p. 46). Pour rédiger cette expertise, le Dr G.________ avait le dossier assécurologique du recourant à sa disposition. Sur ce point précis, force est d'emblée de constater que l'expert ne fait qu'une référence marginale aux conclusions du rapport de surveillance rendu par la société F.________ le</w:t>
      </w:r>
    </w:p>
    <w:p>
      <w:r>
        <w:t>Tribunal cantonal TC Page 7 de 11 1er mars 2016. Celles-ci n'apparaissent pas avoir influencé l'avis de l'expert-psychiatre lequel semble déjà établi avant qu'il ne mentionne l'"observation dans la réalité" comme une "recherche élargie" relativisant "les éléments évoqués par l'assuré". Cette prise en compte très marginale ne saurait invalider les conclusions de l'expert, lesquelles semblent essentiellement fondées sur le dossier médical et ses propres observations lors d'un entretien avec le recourant. Le 1er septembre 2016, en présence d'un traducteur, l'expert a en effet pu rencontrer le recourant pour un entretien de 2h30 avec son épouse. Outre un examen clinique de celui-ci, lequel comprenait la passation de différents tests d'hétéro-évaluation, l'expert lui a fait remplir un questionnaire d'autoévaluation ainsi que procédé à des analyses sanguines. Ces dernières démontraient un taux des substances prescrites inférieur à la fourchette thérapeutique, ce qui indique une mauvaise compliance. Pour sa part, à l'occasion de l'entretien du 1er septembre 2016, le recourant a pu décrire ses problèmes à l'expert, sur les plans médicaux, sociaux, personnels et familiaux. Il a en particulier pu préciser le déroulement des crises de violence, lesquelles le conduisent à s'éloigner de son domicile pour protéger ses proches. Sur ce point précis, ses allégations selon lesquelles le recourant aurait tu son adolescence confrontée à la guerre (cf. courrier du 7 février 2017, dossier OAI, p. 13) peinent à convaincre, en particulier dans un contexte de majoration des symptômes. Outre que celles-ci, très vagues, n'ont été présentées que 30 ans après leur prétendue survenance, force est de constater qu'aucun élément au dossier n'atteste que le recourant ait été soldat à l'âge de 16 ans comme il le prétend. Au contraire, le recourant a affirmé au Dr G.________ qu'il n'avait pas fait l'armée en raison de vomissements. Au Dr D.________, il a dit s'être marié avec une femme qu'il ne connaissait pas "pour avoir des bras pour travailler" et trois enfants sont nés jusqu'en 1983 (cf. dossier OAI, p. 145). Au demeurant, en l'absence de tout détail, l'affirmation selon laquelle "son camarade de combat [aurait] été tué à ses côtés" alors qu'il avait 16 ans ne semble que peu plausible. En effet, son pays d'origine, bien que politiquement instable, n'apparaît pas avoir vécu de conflit entre 1981 et 1983. En particulier, il n'est pas fait mention d'opération militaire en relation avec le coup d'état de 1980 (la constitution actuelle du pays ayant été adoptée en 1982), I.________ (attentats contre des civils les 7 août 1982 et 16 juin 1983) ou J.________ (qui s'engage dans la lutte armée alors que le recourant avait dépassé ses 18 ans, soit deux ans après l'enrôlement militaire allégué). Partant, la Cour retient qu'en ayant accès au dossier médical du recourant, l'expert a été en mesure de posséder une connaissance complète de l'anamnèse et du contexte médical. En outre, il a pris en considération les plaintes du recourant et a procédé à des examens complets. Dans le rapport d'expertise, le Dr G.________ examine de manière détaillée les points litigieux. Par quelques points de réflexion, il indique notamment les motifs de ses désaccords avec les autres médecins ayant examiné l'assuré, le Dr D.________, le Dr H.________ et le Dr K.________, spécialiste FMH en psychiatrie et psychothérapie. S'agissant de ses propres conclusions, celles-ci sont dûment motivées et reposent tant sur l'historique (procédural et médical), l'anamnèse, les plaintes du recourant que les constatations cliniques. Sur ce point précis, l'expert classe méthodiquement les notions issues de l'expertisé de celles issues de ses propres observations, faisant la distinction lorsque l'auto-évaluation ou l'hétéro-évaluation, seules ou ensemble, sont prises en compte. Cette liste met clairement en évidence une discordance entre ce qu'évoque l'assuré et ce que l'expert constate.</w:t>
      </w:r>
    </w:p>
    <w:p>
      <w:r>
        <w:t>Tribunal cantonal TC Page 8 de 11 Dès lors qu'elle est en tous points conformes aux réquisits jurisprudentiels, le rapport d'expertise du Dr G.________ a pleine valeur probante. b) A ce stade, force est de constater que des discordances entre les constats objectifs des médecins et les plaintes du recourant – lesquelles tendent à confirmer la thèse d'une majoration des symptômes – ainsi que la présence de facteurs extra-médicaux à l'invalidité sont mentionnées depuis de nombreuses années dans le dossier du recourant. On peut ainsi relever qu'en 2003 déjà, le Dr L.________, spécialiste FMH en neurologie, suspectait que "la nervosité du patient [était] un facteur important dans la genèse de ses plaintes" (dossier OAI, p. 382). Pour sa part, en 2005, le Dr M.________, spécialiste FMH en psychiatrie et psychothérapie, soutenait ce qui suit: "genau so wie bei den Spezialisten, die den Patienten bereits vor mir untersucht haben, besteht auch bei mir eine Diskrepanz zwischen den Befunden, die Beschwerden des Patienten und dem Ansprechen auf die vorgeschlagenen Behandlungsmassnahmen". Le médecin était persuadé que "psychosoziale Faktoren spielen eine wesentliche Rolle bei der Chronifizierung und bei der jetzigen Ausprägung der Beschwerden" (dossier OAI, p. 269). En 2012, le Dr N.________, spécialiste FMH en psychiatrie et psychothérapie, conseillait une prise en charge pluridisciplinaire au centre psychosocial en raison de "l'intrication des problèmes sociaux et psychiatriques chez ce patient" (dossier OAI, p. 272). Enfin, en 2016, suite à un examen neuropsychologique, E.________ relève que "les performances observées sont inhabituelles […]. Ainsi, l'assuré échoue à un test très simple de dénomination tel un aphasique alors qu'il s'exprime aisément avec l'interprète. Lors de l'échange conversationnel ou lors de ses déplacements, il présente une vitesse d'exécution cliniquement normale alors qu'au testing, les délais de réponse lors d'épreuves automatisées et/ou qui ne nécessitent aucune réflexion sont souvent extrêmement longs […]. Aux tests de mémoire épisodique, les résultats sont tellement faibles, comme s'il souffrait d'une amnésie alors que le rappel de faits autobiographiques récent est possible. A une épreuve de mémoire à long terme, le score est par ailleurs inférieur à celui qu'on obtient si on fournit les réponses au hasard. De plus, à un test de validation de symptômes, les résultats sont tellement faibles qu'ils sont compatibles, selon les études scientifiques, avec une simulation". Elle conclut dès lors que "les résultats du bilan neuropsychologique sont invalides". Ces éléments vont dans le droit sens des conclusions du Dr G.________. c) Cela étant, le recourant soutient que le rapport d'expertise du Dr D.________ du</w:t>
      </w:r>
    </w:p>
    <w:p>
      <w:r>
        <w:rPr>
          <w:b/>
        </w:rPr>
        <w:t>E. 9</w:t>
      </w:r>
    </w:p>
    <w:p>
      <w:r>
        <w:t>octobre 2014 possède également une pleine force probante, de sorte que des mesures d'instruction complémentaires devraient être diligentées. Dans son rapport d'expertise du 9 octobre 2014, le Dr D.________ diagnostique un "trouble dépressif majeur, épisode isolé, gravité sévère avec caractéristiques psychotiques probables F32.3 (296.23)", une "agoraphobie sans antécédents de trouble panique F40.00 (300.22)", une "phobie spécifique F40.2 (300.29)", une "personnalité borderline F60.31 (301.83)" avec des "traits paranoïaques", "un fonctionnement intellectuel limite R41.8 (V62.89)" et une "personnalité fruste à fonctionnement alexithymique". En raison de ces diagnostics, il affirme que le recourant est totalement inapte au travail. Selon lui, "à l'heure actuelle, la priorité absolue est aux soins. En effet,</w:t>
      </w:r>
    </w:p>
    <w:p>
      <w:r>
        <w:t>Tribunal cantonal TC Page 9 de 11 idéalement, l'expertisé devrait être soigné en milieu hospitalier, tenant compte de la gravité de son état" (dossier OAI, p. 145). Toute comme le Dr G.________, le Dr D.________ se base sur le dossier assécurologique ainsi qu'un entretien avec l'assuré et son épouse du 16 septembre 2014. Lors de cet entretien, l'assuré et son épouse ont pu décrire les troubles dont il souffre et, plus particulièrement, son impulsivité et les moyens de la contrôler. Pour sa part, l'expert lui a fait passer des tests d'auto-évaluation (Beck 26) et d'hétéro-évaluation (Hamilton 21), dont il découle une dépression sévère. Il appert ainsi qu'il a réalisé des examens complets de l'assuré. Toutefois, force est de constater que le psychiatre s'appuie essentiellement sur les dires du recourant, au détriment de facteurs objectivables. Cela est notamment reconnaissable dans le cadre de l'examen des symptômes permettant de diagnostiquer un épisode dépressif majeur, condition nécessaire pour diagnostiquer un trouble dépressif majeur (cf. DSM IV TR, p. 403ss et 426ss). Par exemple, l'expert y affirme ainsi que "l'expertisé présente […] de nombreux symptômes du spectre dépressif-anxieux majeur dont entre autres une suicidalité latente ainsi que des équivalents suicidaires probables" (critère A9). Or, cette tendance au suicide n'est fondée que sur l'affirmation du recourant selon laquelle "il évite de conduire sa voiture en raison de ses idées suicidaires passées" alors même qu'aucun élément de l'historique médical ne laisse apparaître de tels symptômes. On peut aussi relever que le diagnostic d'agoraphobie et de phobie spécifique sont émis car le recourant déclare qu'il "ne supporte pas bien la foule et souffre de vertige". Même dans l'application de tests d'hétéro-évaluation (Hamilton 21), les réponses dont fait mention le psychiatre apparaissent influencées de manière non négligeable par les seules affirmations du recourant, lesquelles devraient pourtant être appréciées avec réserve, qui plus est lorsqu'une majoration des symptômes est, comme en l'espèce, mentionnée depuis de nombreuses années. Cela remet clairement en question la valeur probante de l'expertise. Certes, le Dr O.________, spécialiste FMH en psychiatrie et psychothérapie, du SMR, a confirmé, dans un premier temps, la valeur probante de l'expertise (rapport du 20 mai 2015, dossier OAI, p. 141). Il est cependant revenu sur sa position et a proposé la mise sur pied d'un examen neuropsychologique (rapport du 26 novembre 2015, dossier OAI, p. 137). Son avis, contradictoire, ne saurait dès lors permettre de confirmer ou d'infirmer la valeur probante de l'expertise du Dr D.________. d) Enfin, force est de constater que, dans leurs différents rapports médicaux, les médecins traitants du recourant n'examinent pas la question de la capacité de travail de manière détaillée. On peut d'emblée remarquer que le Dr K.________ ne quantifie ni n'atteste formellement une incapacité de travail. Le fait que même le psychiatre traitant n'atteste d'aucune incapacité de travail affaiblit d'autant plus la valeur probante de l'expertise du Dr D.________. Cela étant, dans son rapport du 28 octobre 2013, le psychiatre diagnostique un trouble du déficit d'attention avec hyperactivité, lequel influencerait la capacité de travail de son patient. Il précise toutefois ne pas "avoir attesté d'incapacité de travail", ajoutant ensuite ce qui suit: "je peux concevoir que l'irritabilité du patient soit conflictuelle avec l'exercice de toute activité professionnelle, mais n'en ai pas la certitude, l'inattention et les oublis dégradant certainement la qualité du travail accompli" (dossier OAI, p. 207). De même, dans ses rapports médicaux des 30 décembre 2016 et 7 février 2017, s'attachant surtout à confronter sa démarche diagnostique à</w:t>
      </w:r>
    </w:p>
    <w:p>
      <w:r>
        <w:t>Tribunal cantonal TC Page 10 de 11 celle du Dr G.________, le Dr K.________ n'examine pas non plus la question de la capacité de travail. Au contraire, il admet que son avis diffère de l'expert-psychiatre car fondé sur des éléments "dont l'expert ne retient pas le caractère probant en l'absence d'éléments plus objectifs" (bordereau recours, pièce 6). Ce motif de divergence est justement ce qui permet de privilégier les démarches du Dr G.________, lequel se fonde sur des éléments plus objectifs que le psychiatre traitant. Pour sa part, dans son rapport le plus récent, daté du 30 juillet 2012, le Dr H.________ atteste d'une incapacité totale de travailler présente depuis 2002 en raison d'un "état anxio-dépressif avec troubles intermittents du comportement". Le rapport médical n'est toutefois que très peu motivé, le généraliste se référant à l'avis d'un "spécialiste en psychiatrie" qui n'est alors pas encore mandaté (dossier OAI, p. 265). Cet avis médical ne convainc donc pas. Enfin, on peut rappeler que, selon la jurisprudence constante, de par sa position de confident privilégié que lui confère son mandat, le médecin traitant tranchera dans le doute en faveur de son patient (cf. ATF 125 V 352 consid. 3 b/cc et les références). Dans de telles circonstances, il y a lieu d’attacher plus de poids à l’opinion motivée d'un expert. e) Il ressort de l'ensemble de ce qui précède que la Cour se rattache aux conclusions du Dr G.________ lequel atteste que, du point de vue psychiatrique, l'activité exercée en dernier lieu est toujours exigible. Il n'y a dès lors aucune aggravation de l'état de santé sur ce plan. S'agissant des plaintes somatiques, aucun médecin ne mentionne d'aggravation. En particulier, le Dr H.________ ne fait état que de diagnostics psychiques et les Drs P.________, spécialiste FMH en dermatologie, et Q.________, spécialiste FMH en anesthésiologie, n'attestent d'aucune incapacité de travail dans leur domaine (dossier OAI, p. 265, 273 et 274). Quoi qu'il en soit, au vu des considérants qui précèdent, force est de constater que l'état de santé du recourant ne s'est pas péjoré depuis le refus initial de rente du 30 juillet 2004, confirmé sur opposition le 5 octobre 2004. En l'absence d'aggravation de l’état de santé ou de changement d’un autre élément qui aurait pu avoir une influence sur le droit à la rente, c'est à juste titre que l'autorité intimée a rejeté la nouvelle demande présentée par le recourant. 6. Le recours, mal fondé, doit être rejeté et la décision querellée confirmée. Les frais de justice, fixés à CHF 800.-, sont mis à la charge du recourant. Ils sont toutefois compensés avec l'avance du même montant effectuée par ce dernier. Compte tenu de l'issue du recours, il n'est pas alloué de dépens.</w:t>
      </w:r>
    </w:p>
    <w:p>
      <w:r>
        <w:t>Tribunal cantonal TC Page 11 de 11 la Cour arrête: I. Le recours est rejeté. II. Les frais de justice, fixés à CHF 800.-, sont mis à la charge du recourant; ils sont compensés avec l'avance du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octobre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