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274 vom 28. September 2018</w:t>
      </w:r>
    </w:p>
    <w:p>
      <w:r>
        <w:t>FR Kantonsgericht, 2018-09-28, FR</w:t>
      </w:r>
    </w:p>
    <w:p>
      <w:r>
        <w:rPr>
          <w:b/>
        </w:rPr>
        <w:t xml:space="preserve">Quelle: </w:t>
      </w:r>
      <w:r>
        <w:t>https://mcp.opencaselaw.ch/entscheid/fr_gerichte_608_2017_274</w:t>
      </w:r>
    </w:p>
    <w:p>
      <w:r>
        <w:t>FR: FR_GERICHTE 608 2017 274 du 28 septembre 2018</w:t>
      </w:r>
    </w:p>
    <w:p>
      <w:r>
        <w:t>IT: FR_GERICHTE 608 2017 274 del 28 settembre 2018</w:t>
      </w:r>
    </w:p>
    <w:p>
      <w:pPr>
        <w:pStyle w:val="Heading2"/>
      </w:pPr>
      <w:r>
        <w:t>Regeste</w:t>
      </w:r>
    </w:p>
    <w:p>
      <w:r>
        <w:t>Arrêt de la IIe Cour des assurances sociales du Tribunal cantonal | Ergänzungsleistungen</w:t>
      </w:r>
    </w:p>
    <w:p>
      <w:pPr>
        <w:pStyle w:val="Heading2"/>
      </w:pPr>
      <w:r>
        <w:t>Erwägungen</w:t>
      </w:r>
    </w:p>
    <w:p>
      <w:r>
        <w:rPr>
          <w:b/>
        </w:rPr>
        <w:t>E. 6</w:t>
      </w:r>
    </w:p>
    <w:p>
      <w:r>
        <w:t>octobre 2006 sur les prestations complémentaires à l'AVS et à l'AI (LPC; RS 831.30), les prestations indûment touchées doivent être restituées (première phrase); la restitution ne peut être exigée lorsque l'intéressé était de bonne foi et qu'elle le mettrait dans une situation difficile (seconde phrase); que ces deux conditions matérielles – bonne foi et situation difficile – de l'art. 25 al. 1 seconde phrase LPGA sont cumulatives et leur réalisation est nécessaire pour que la remise de l'obligation de restituer soit accordée (arrêts TF 8C_203/2015 du 23 septembre 2015 consid. 4 et les références citées); que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w:t>
      </w:r>
    </w:p>
    <w:p>
      <w:r>
        <w:t>Tribunal cantonal TC Page 3 de 4 que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(arrêts TF 8C_203/2015 précité consid. 4 et 8C_129/2015 du 13 juillet 2015 consid. 4); que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que la bonne foi doit ainsi également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que, dans l'arrêt 9C_496/2014 du 22 octobre 2014 (consid. 4), le Tribunal fédéral a confirmé que s'il ne pouvait pas échapper à un assuré qu'un changement dans les faits (dans ce cas, du lieu de résidence du bénéficiaire) avait une influence sur le montant des PC, il devait également présumer que le montant des PC devait être modifié pour tenir compte de ce changement. Partant, il ne pouvait ignorer que la poursuite du versement de sommes identiques à celles perçues jusque-là n'était pas correcte; la condition de la bonne foi n'était ainsi pas réalisée et la remise ne pouvait pas être accordée, ce notamment pour la période suivant l'annonce de la modification effectuée par le bénéficiaire pendant laquelle des PC ont continué à être versées avec un montant inchangé; qu'en l'espèce, on ne saurait reprocher à l'assuré de n'avoir pas satisfait à son devoir de renseigner; que c'est dès lors à juste titre que celui-ci souligne avoir communiqué toutes les informations requises; qu'en revanche, la feuille de calcul pour les PC du 16 décembre 2016 – ainsi que les précédentes – indique ce qui suit: "dans le calcul, les personnes suivantes sont incluses: A.________ (…), B.________ (…)"; que la prestation avait ainsi été fixée en tenant compte du ménage commun des époux; que celle-ci est versée mensuellement; que, dans ces conditions, le recourant devait savoir que le départ de son épouse du domicile conjugal au 1er août 2017 allait avoir des répercussions sur le montant des PC dont il bénéficiait jusqu'alors; qu'il a d'ailleurs été invité, par courrier du 30 mai 2017, à indiquer si son épouse avait déjà quitté le ménage commun; qu'il ressort des écritures du recourant qu'il était en effet conscient qu'il ne continuerait pas à bénéficier d'un montant inchangé pour la période postérieure au 1er août 2017;</w:t>
      </w:r>
    </w:p>
    <w:p>
      <w:r>
        <w:t>Tribunal cantonal TC Page 4 de 4 que, partant, celui-ci devait sérieusement douter que le montant inchangé qui lui a été versé pour le mois d'août 2017 ne correspondait plus à son droit pour cette période; que, dans ces conditions, il lui incombait, avant de dépenser cet argent, de se renseigner auprès de la Caisse pour s'assurer que le montant était toujours correct; que certes, il est louable que l'assuré ait assisté son épouse, dont les rentes n'avaient pas encore été créditées; cela ne change toutefois rien au fait qu'il lui versait de l'argent dont il devait douter qu'il n'avait plus droit; que si, à titre privé, l'assuré a avancé de l'argent à son épouse, il peut demander à cette dernière qu'elle le rembourse; que la bonne foi dont il est question ici doit exister dans la relation entre l'assuré et la Caisse et qu'elle doit être écartée si un assuré dépense de l'argent dont il devait soupçonner qu'il n'était plus bénéficiaire; que partant, le Tribunal ne peut que confirmer que les conditions ne sont pas satisfaites pour mettre le recourant au bénéfice de la remise; que le recours, mal fondé, doit ainsi être rejeté et la décision sur opposition entreprise confirmée; qu'il n'est pas perçu de frais de procédure; la Cour arrête: I. Le recours est rejeté. II. Il n'est pas perçu de frais de justice pour la procédure de recours.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