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260 vom 16. April 2018</w:t>
      </w:r>
    </w:p>
    <w:p>
      <w:r>
        <w:t>FR Kantonsgericht, 2018-04-16, FR</w:t>
      </w:r>
    </w:p>
    <w:p>
      <w:r>
        <w:rPr>
          <w:b/>
        </w:rPr>
        <w:t xml:space="preserve">Quelle: </w:t>
      </w:r>
      <w:r>
        <w:t>https://mcp.opencaselaw.ch/entscheid/fr_gerichte_608_2017_260</w:t>
      </w:r>
    </w:p>
    <w:p>
      <w:r>
        <w:t>FR: FR_GERICHTE 608 2017 260 du 16 avril 2018</w:t>
      </w:r>
    </w:p>
    <w:p>
      <w:r>
        <w:t>IT: FR_GERICHTE 608 2017 260 del 16 aprile 2018</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la recourante, dûment représentée, est en outre directement atteinte par la décision querellée et a dès lors un intérêt digne de protection à ce qu'elle soit, cas échéant, annulée ou modifiée.</w:t>
      </w:r>
    </w:p>
    <w:p>
      <w:r>
        <w:rPr>
          <w:b/>
        </w:rPr>
        <w:t>E. 2</w:t>
      </w:r>
    </w:p>
    <w:p>
      <w:r>
        <w:t>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w:t>
      </w:r>
    </w:p>
    <w:p>
      <w:r>
        <w:t>Tribunal cantonal TC Page 4 de 10 Selon l'art. 4 al. 1 LAI, dite invalidité peut résulter d'une infirmité congénitale, d'une maladie ou d'un accident. b)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c) La méthode ordinaire de comparaison des revenus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s’effectue, en règle générale, en chiffrant aussi exactement que possible les montants de ces deux revenus (RCC 1985 p. 469). d)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Selon l'art. 17 LPGA, si le taux d'invalidité du bénéficiaire de la rente subit une modification notable, la rente est, d'office ou sur demande, révisée pour l'avenir, à savoir augmentée ou réduite en conséquence, ou encore supprimée. Lorsque l'administration entre en matière sur une nouvelle demande, elle doit examiner l'affaire au fond, et vérifier que la modification du degré d'invalidité rendue plausible par l'assuré est réellement intervenue. Il y a lieu d’appliquer par analogie les conditions de la révision du droit à la rente selon l’art. 17 LPGA (ATF 130 V 64 consid. 2; arrêts TF I 329/05 du 10 février 2006 consid. 1.1 et I 152/01 du 11 septembre 2001 consid. 1b; VSI 1999 84 consid. 1b).</w:t>
      </w:r>
    </w:p>
    <w:p>
      <w:r>
        <w:t>Tribunal cantonal TC Page 5 de 10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w:t>
      </w:r>
    </w:p>
    <w:p>
      <w:r>
        <w:rPr>
          <w:b/>
        </w:rPr>
        <w:t>E. 3</w:t>
      </w:r>
    </w:p>
    <w:p>
      <w:r>
        <w:t>a)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 b)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w:t>
      </w:r>
    </w:p>
    <w:p>
      <w:r>
        <w:t>Tribunal cantonal TC Page 6 de 10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4</w:t>
      </w:r>
    </w:p>
    <w:p>
      <w:r>
        <w:t>En l’espèce, le litige porte sur la question de savoir si l'état de santé de la recourante s'est aggravé au point de justifier l'octroi de prestations AI, respectivement si la mise sur pied d’une expertise est nécessaire. a) Le point de départ temporel pour résoudre cette question correspond à la dernière décision qui repose sur un examen matériel du droit à la rente, avec une constatation des faits pertinents, une appréciation des preuves et une comparaison des revenus conformes au droit. En l'occurrence, il s'agit de la décision du 3 septembre 2004. L'OAI y estimait que son assurée était en mesure d'exercer une activité adaptée à plein temps, sans perte de rendement, notamment comme ouvrière dans la production industrielle légère. La comparaison des revenus de valide de CHF 45'500.- et d'invalide de CHF 34'811.-, aboutissant à un degré d'invalidité de 23%, a conduit l'office à supprimer la demi-rente qu'il octroyait jusqu'alors. Cette décision faisait suite à la reprise d'activité, à temps plein, de l'assurée auprès de son ancien employeur qui avait adapté le poste de travail. A l'époque, le médecin traitant, le Dr G.________, spécialiste FMH en chirurgie orthopédique et traumatologie de l'appareil locomoteur et en chirurgie de la main, faisait état de plaintes tant au niveau du membre supérieur droit que du membre supérieur gauche. Il n'émettait cependant que des diagnostics en relation avec le côté droit, soit une "arthrose péri-scaphoïdienne sur status après cure de pseudoarthrose", une "épicondylite latérale" et des "status" après différentes opérations (AMO, plusieurs résections sur pseudoarthrose). Il attestait d'une capacité de travail réduite dans le conditionnement d'aliments, mais entière dans une activité adaptée, soit</w:t>
      </w:r>
    </w:p>
    <w:p>
      <w:r>
        <w:t>Tribunal cantonal TC Page 7 de 10 essentiellement uni-manuelle de la main gauche, la main droite pouvant cependant servir (dossier OAI, p. 58, 101, 121 et 136). A la même période, le Dr H.________, spécialiste FMH en chirurgie, médecin d'arrondissement de C.________, relevait qu'il persistait "comme séquelle une très importante limitation fonctionnelle du poignet et une diminution de la force de préhension de la main". Il attestait d'une capacité de travail complète dans une "activité, de type industriel, avec sollicitation alternée des deux mains et des deux poignets" (dossier OAI, p. 114 et 117). b) Compte tenu de ce qui précède, il convient d'examiner si l'état de santé de la recourante s'est péjoré depuis lors de manière à influencer son droit à une rente de l'assurance-invalidité. Dans sa décision du 16 août 2017, l'OAI se fonde sur le rapport d'expertise rhumatologique du Dr F.________ du 26 juin 2017. Comme syndrome invalidant, l'expert rhumatologue mentionne des "douleurs et ankylose du poignet [droit]" et d'un "syndrome lombovertébral récurrent chronique sans signe radiculaire irritatif ou déficitaire [avec une] minime discopathie L5-S1". Il ne considère pas les autres diagnostics – notamment au niveau des membres inférieurs ("douleurs de la cheville [droite]", "status post-entorse cheville [gauche]") – comme invalidants. Dans ces circonstances, le médecin estime que la capacité de travail est de 80% dans l'activité de chauffeur- livreur – "vu la nécessité de porter des caisses" – et entière dans une activité adaptée, soit une activité avec une diminution des mouvements en porte-à-faux et le port de charges de plus de 10 kg (dossier OAI, p. 348). Mandaté par l'assurance-accidents, le Dr E.________ avait, peu avant, statué dans un rapport du 19 juillet 2015. Il y diagnostique un "enraidissement douloureux post-traumatique du tarse droit", des "troubles dégénératifs préexistants asymptomatiques des deux pieds", des "troubles dégénératifs de la charnière lombo-sacrée" et de l'arthrose aux membres supérieurs (main, clavicule et poignet). En relation presque exclusivement avec l'enraidissement douloureux du tarse droit – les autres diagnostics "n'interv[enant] pas […] de façon significative dans l'évolution" – l'expert orthopédiste conclut que "la patiente est incapable de travailler même partiellement comme chauffeur-livreuse" mais qu'elle "serait théoriquement apte à prendre une activité professionnelle dans une activité adaptée, sans port de charges lourdes ni déplacement ou station debout prolongée" (dossier OAI, p. 294). Tant l'expert-rhumatologue que l'expert-orthopédiste sont des spécialistes dans leurs domaines respectifs et ont fondé leur rapport sur le dossier assécurologique mis à leur disposition, ce qui leur a permis d'avoir une pleine connaissance de l'anamnèse et du contexte médical. En outre, ils ont été en mesure d'examiner la recourante à l'occasion d'un entretien, le premier le 16 juin 2017 et le second les 7 et 18 juillet 2016. Par ce biais, les experts ont ainsi pu entendre de vive voix les plaintes de la recourante et, également, procéder à des examens complets. Tous deux motivent suffisamment leurs conclusions. Tant l'expertise du Dr F.________ que celle du Dr E.________ remplissent les critères formels permettant de reconnaître une pleine valeur probante aux rapports médicaux. Il se justifie de les suivre tous deux. Certes, au premier abord, les conclusions de l'expert-rhumatologue et de l'expert-orthopédiste ne se rejoignent pas entièrement. En particulier, si le premier fait état de limitations en lien uniquement avec les membres supérieurs, le second estime que les membres inférieurs – sur</w:t>
      </w:r>
    </w:p>
    <w:p>
      <w:r>
        <w:t>Tribunal cantonal TC Page 8 de 10 lesquels il a concentré ses examens car seuls troubles à charge de l'assurance-accidents à ses yeux – sont déjà une source importante de limitations fonctionnelles. De même, on constate que les experts ne s'accordent pas sur l'évaluation de la capacité de travail. D'abord, leur évaluation dans l'ancienne activité (de 80% pour le premier et nulle pour le second) est fondamentalement différente. Cela étant, les deux experts concluent à l'existence d'une capacité de travail entière dans une activité adaptée. Le premier estime que celle-ci ne doit pas imposer de mouvements en porte-à- faux et le port de charges de plus de 10 kg (dossier OAI, p. 348) et le second considère que cette activité ne doit pas imposer de port de charges lourdes ni déplacement ou station debout prolongée (dossier OAI, p. 294). Une activité tenant compte de l'ensemble de ces limitations constitue donc une activité adaptée pour la recourante, ces limitations ne s'excluant pas. c) C'est ce que confirme l'examen des autres rapports médicaux figurant au dossier. Ainsi, le Dr G.________ estime qu'il y a une "diminution de force aux deux mains ainsi que d'une limitation de l'aptitude à effectuer les tâches fortement répétitives. Une activité adaptée pourrait être exercée à plein temps. Par contre le déchargement et la préparation d'aliments sont difficiles, voire même impossibles". Au moment de cocher les limitations dues à l'état du handicap, il ne coche que les cases "soulever/porter (près loin du corps)" (limite de poids de 5 kg à droite et 11 kg à gauche), "monter sur une échelle/un échafaudage" et "autres" (rapports des 24 mars 2015 et 23 septembre 2016, dossier OAI, p. 175 et 274). Ses conclusions vont donc dans le sens de l'existence d'une capacité de travail entière dans une activité sans port de charges de plus de 10 kg, sans mouvements en porte-à-faux ou répétitifs, sans déplacement ou station debout prolongée. De même, dans son dernier rapport, la Dresse I.________, spécialiste FMH en médecine interne générale et en rhumatologie, estime qu'une activité légère, sans port de charges, sans mouvements répétitifs de la main, avec alternance des positions et sans longs trajets debout est adaptée. Mais, en raison essentiellement des troubles des membres inférieurs, elle considère que la capacité de travail n'est que de 50% (rapport du 17 septembre 2016, dossier OAI, p. 261; comparer avec rapports des 29 mars et 19 septembre 2015, dossier OAI, p. 181 et 205, moins favorables à l'assurée). La Dresse I.________ retient dès lors des limitations fonctionnelles compatibles avec les avis du Dr F.________, du Dr E.________ et du Dr G.________. Cela n'est que dans la quantification de la capacité de travail résiduelle qu'elle s'écarte des conclusions de ces derniers. Il ne s'agit cependant que d'une appréciation différente et isolée d'une même situation. Dans ces circonstances, il y a lieu d’attacher plus de poids à l’opinion motivée des experts qu’à l’appréciation de l’incapacité de travail par la Dresse I.________. Il convient en outre de rappeler que cette dernière, vu la relation de confiance qui l’unit à son patient, est généralement enclin, en cas de doute, à prendre parti pour lui (cf. ATF 125 V 351 consid. 3b/cc et les références citées). d) Partant, la Cour retient que la recourante est en mesure de travailler à temps plein dans une activité adaptée, soit, en substance, une activité légère, sans port de charges, sans mouvements répétitifs de la main, avec alternance des positions et sans longs trajets debout.</w:t>
      </w:r>
    </w:p>
    <w:p>
      <w:r>
        <w:t>Tribunal cantonal TC Page 9 de 10</w:t>
      </w:r>
    </w:p>
    <w:p>
      <w:r>
        <w:rPr>
          <w:b/>
        </w:rPr>
        <w:t>E. 5</w:t>
      </w:r>
    </w:p>
    <w:p>
      <w:r>
        <w:t>Compte tenu de l'existence d'une capacité de travail résiduelle, il convient dès lors de procéder à la comparaison des revenus de valide et d'invalide en vue de déterminer le degré d'invalidité. a) Dans la décision litigieuse du 27 septembre 2017, l'OAI a retenu que l'assurée réaliserait un revenu de 51'201.- (CHF 51'000.- pour 2014, plus 0.4% d'indexation pour 2015) dans l'activité de chauffeur. Cependant, en procédant de la sorte, l'autorité intimée ne tient pas compte du fait que la recourante a déjà bénéficié d'une reconversion professionnelle. Elle devait, bien plutôt, se référer à l'activité initiale de son assurée, en tant qu'ouvrière dans une usine de conditionnement d'aliments. Dans cette activité, elle obtenait en 2003 un salaire annuel de CHF 45'500.- (cf. décision du 3 septembre 2004, dossier OAI, p. 150). Compte tenu de l'évolution des salaires nominaux (cf. tableau T39 de l'OFS), cela correspondrait à un revenu de CHF 52'393.05 en 2015. Ce montant doit être retenu comme salaire de valide. b) Sans faire une référence explicite aux limitations fonctionnelles retenues, l'OAI a considéré que la recourante était en mesure d'exercer à plein temps une activité adaptée telle que celle d'ouvrière dans la production industrielle légère ou les services, telle que le montage à l'établi, le contrôle des produits finis, la conduite de machines semi-automatiques, l'usinage de pièces légères ou le conditionnement léger. Il s'est référé au salaire moyen du secteur privé selon les chiffres de l'Enquête suisse sur la structure des salaires 2014 (ci-après: ESS). Cela résiste à la critique. En effet, dès lors que cette enquête comprend un large éventail d'activités, on peut admettre qu'un nombre significatif d'entre elles est adapté aux aptitudes de la recourante dans un marché du travail équilibré (cf. arrêt TF I 312/04 du 28 juillet 2005 consid. 3.2.1). En outre, le choix du niveau de compétence 1 permet de tenir compte du fait que l'assurée ne possède pas d'expérience dans ce domaine. En effet, l'ESS différencie quatre niveaux de compétences et, en principe, le niveau 1 vise les tâches physiques ou manuelles simples au sens de la classification internationale du type des professions, soit des tâches adaptées aux limitations fonctionnelles ici reconnues. Le montant de CHF 4'300.- figurant dans l'enquête (ESS 2010, TA1_skill_level, total, niveau de compétences 1, femmes) tient compte d'une durée de travail hebdomadaire de 40 heures alors que la durée usuelle du travail était en 2015 de 41.6 heures (CHF 4'472.-; cf. OFS, durée normale du travail dans les entreprises selon les sections économiques et les cantons). En outre, ce montant doit être adapté à l'évolution des salaires nominaux (0.5 en 2015 pour les femmes), ce qui correspond à un montant de CHF 4'494.35, soit CHF 53'932.32 annuellement. En l'occurrence, le parallélisme des revenus ne trouve pas application. c) Dans ces circonstances, le degré d'invalidité découlant de la comparaison des revenus est insuffisant pour justifier l'octroi d'une rente au vu du salaire de valide de CHF 52'393.05 et du salaire d'invalide de CHF 53'932.32. Ce degré d'invalidité demeurerait insuffisant si le salaire d'invalide était réduit – comme dans les décisions du 16 juillet 2004 et 3 septembre 2004 – d'un désavantage salarial de 25%.</w:t>
      </w:r>
    </w:p>
    <w:p>
      <w:r>
        <w:t>Tribunal cantonal TC Page 10 de 10</w:t>
      </w:r>
    </w:p>
    <w:p>
      <w:r>
        <w:rPr>
          <w:b/>
        </w:rPr>
        <w:t>E. 6</w:t>
      </w:r>
    </w:p>
    <w:p>
      <w:r>
        <w:t>Il s’ensuit que, mal fondé, le recours doit être rejeté et la décision attaquée confirmée. Au vu de l'issue du litige, des frais de justice, fixés à CHF 800.-, sont mis à la charge de la recourante qui succombe. Ils sont compensés avec l'avance de frais du même montant versée par celle-ci. Pour les mêmes motifs, il n'est pas octroyé de dépens. la Cour arrête: I. Le recours est rejeté. II. Les frais de procédure, par CHF 800.-, sont mis à la charge de la recourante; ils sont compensés avec l'avance de frais déjà versée, du même montant. III. Il n'est pas octroyé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avril 2018/pte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