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25 vom 11. September 2017</w:t>
      </w:r>
    </w:p>
    <w:p>
      <w:r>
        <w:t>FR Kantonsgericht, 2017-09-11, FR</w:t>
      </w:r>
    </w:p>
    <w:p>
      <w:r>
        <w:rPr>
          <w:b/>
        </w:rPr>
        <w:t xml:space="preserve">Quelle: </w:t>
      </w:r>
      <w:r>
        <w:t>https://mcp.opencaselaw.ch/entscheid/fr_gerichte_608_2017_25</w:t>
      </w:r>
    </w:p>
    <w:p>
      <w:r>
        <w:t>FR: FR_GERICHTE 608 2017 25 du 11 septembre 2017</w:t>
      </w:r>
    </w:p>
    <w:p>
      <w:r>
        <w:t>IT: FR_GERICHTE 608 2017 25 del 11 settembre 2017</w:t>
      </w:r>
    </w:p>
    <w:p>
      <w:pPr>
        <w:pStyle w:val="Heading2"/>
      </w:pPr>
      <w:r>
        <w:t>Regeste</w:t>
      </w:r>
    </w:p>
    <w:p>
      <w:r>
        <w:t>Arrêt de la IIe Cour des assurances sociales du Tribunal cantonal | Invalidenversicherung</w:t>
      </w:r>
    </w:p>
    <w:p>
      <w:pPr>
        <w:pStyle w:val="Heading2"/>
      </w:pPr>
      <w:r>
        <w:t>Erwägungen</w:t>
      </w:r>
    </w:p>
    <w:p>
      <w:r>
        <w:rPr>
          <w:b/>
        </w:rPr>
        <w:t>E. 30</w:t>
      </w:r>
    </w:p>
    <w:p>
      <w:r>
        <w:t>octobre 2007, elle a requis l'octroi de prestations auprès de l'Office de l'assurance-invalidité du canton de Fribourg (ci-après: OAI) en raison d’une dépression chronique depuis 2001. Dans le cadre de l’instruction du dossier, l'OAI a diligenté une expertise psychiatrique auprès du Dr B.________, spécialiste FMH en psychiatrie et psychothérapie. Dans son rapport du 6 juin 2008, celui-ci conclut à l'existence d'une capacité de travail nulle sur le plan psychiatrique en raison de troubles mentaux et du comportement liés à la prise de benzodiazépines, un trouble dépressif récurrent, épisode sévère, une phobie sociale et une personnalité borderline. Par décision du 5 septembre 2008, faisant application de la méthode ordinaire, l'OAI a octroyé une rente entière à l'assurée depuis le 1er juillet 2008, lui reconnaissant un degré d'invalidité de 100%. B. Suite à la prise de position du 17 octobre 2012 de son service médical régional, qui constatait, dans le cadre d’une procédure de révision, initiée en 2009, l’absence d’un suivi psychiatrique, l’OAI a sommé l’assurée, par courrier du 15 novembre 2012, de se soumettre à un traitement psychiatrique, sous peine de se voir réduire ou supprimer la rente. Constatant l’absence de collaboration, l’OAI a, par décision du 17 décembre 2012, suspendu le droit à la rente. Par la suite, l’assurée a consulté le Dr C.________, spécialiste FMH en psychiatrie et psychothérapie, en vue d’un traitement et le versement de la prestation de l’assurance a repris. Par courrier du 16 janvier 2014, l’assurée a une nouvelle fois été sommée en raison d’une mauvaise compliance au traitement pharmacologique. L'OAI a, par la suite, décidé de mandater le Dr D.________, spécialiste FMH en psychiatrie et psychothérapie, pour procéder à une expertise. L’assurée n’ayant pas donné suite à la convocation de celui-ci, l’OAI a, le 15 décembre 2015, à nouveau suspendu la rente jusqu’à ce que celle-ci se soumette au dit examen. L’assurée s’est finalement rendue chez l’expert et a pu bénéficier de sa rente à nouveau. Dans son rapport du 19 mars 2016, le Dr D.________ constate une amélioration de l’état psychique et conclut à l’absence d’une atteinte à la santé qui aurait une influence sur la capacité de travail dans une activité adaptée. C. Par décision du 19 janvier 2017 (projet de décision du 19 août respectivement 2 septembre 2016), l'OAI a supprimé la rente entière pour fin février 2017 et a retiré l’effet suspensif à un éventuel recours. Pour calculer le degré d'invalidité, l’OAI a comparé le revenu avant l’atteinte à la santé dans l’activité d’aiguiseuse (indexé à CHF 31'890.-) avec celui d'ouvrière dans la production industrielle légère (CHF 54'008.15) pour conclure à l’absence d’une perte de gain. D. Contre cette décision, l'assurée interjette recours le 3 février 2017 - régularisé le 3 mars 2017 - en concluant, implicitement du moins, au maintien de sa rente.</w:t>
      </w:r>
    </w:p>
    <w:p>
      <w:r>
        <w:t>Tribunal cantonal TC Page 3 de 11 A l'appui de son recours, elle se réfère principalement à sa psychiatre traitante et conteste l’existence d’une amélioration de son état de santé. Elle indique qu’elle n’est pas en mesure d’exercer une activité lucrative en raison de sa faiblesse psychique. L'avance de frais de CHF 800.- requise a été versée le 4 août 2016 par la recourante. E. Dans ses observations du 12 juillet 2017, l'OAI propose le rejet du recours. Selon lui, la comparaison entre le rapport d'expertise de 2008 et celui de 2016 permet clairement de constater une amélioration de l’état de santé depuis l’octroi initial de la rente. Il relève notamment l’arrêt de la consommation des benzodiazépines et l’amélioration des signes de dépression constatés par le Dr D.________ lors de son examen. Il estime en outre que cet avis d’expert ne saurait être remis en cause par les certificats produits par la recourante dans le cadre de la procédure de recours. Ainsi, il se justifie, selon lui, d’admettre la présence d’une capacité de travail entière dans l’exercice d’une activité adaptée de type industrielle et légère. Il n'a pas été procédé à un second échange d'écritures entre les parties. Il sera fait état des arguments, développés par elles à l'appui de leurs conclusions, dans les considérants de droit du présent arrêt, pour autant que cela soit utile à la solution du litige. en droit 1. Le recours a été interjeté en temps utile auprès de l’autorité intimée et transmis à l'autorité judiciaire compétente à raison du lieu ainsi que de la matière. Régularisé et satisfaisant aux formes légales, il est recevable. La recourante est en outre directement atteinte par la décision querellée et a dès lors un intérêt digne de protection à ce qu'elle soit, cas échéant, annulée ou modifiée. 2. a) A teneur de l’art. 8 al. 1 de la loi du 6 octobre 2000 sur la partie générale du droit des assurances sociales (LPGA; RS 830.1), applicable par le biais de l’art. 1 al. 1 la loi du 19 juin 1959 sur l'assurance-invalidité (LAI; 831.20), est réputée invalidité l'incapacité de gain totale ou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 b)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w:t>
      </w:r>
    </w:p>
    <w:p>
      <w:r>
        <w:t>Tribunal cantonal TC Page 4 de 11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cf. aussi ATF 127 V 294 consid. 4c i. f.).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Par contre,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c) La méthode ordinaire d’évaluation du taux d’invalidité (art. 28a al. 1 LAI) s'applique aux assurés qui exerçaient une activité lucrative à plein temps avant d'être atteints dans leur santé</w:t>
      </w:r>
    </w:p>
    <w:p>
      <w:r>
        <w:t>Tribunal cantonal TC Page 5 de 11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Ce n'est qu'en l'absence d'un revenu effectivement réalisé - soit lorsque l'assuré, après la survenance de l'atteinte à la santé, n'a pas repris d'activité ou alors aucune activité adaptée, normalement exigible - que la jurisprudence admet la possibilité de se référer aux données statistiques, telles qu'elles résultent de l'enquête sur la structure des salaires (ESS) publiée par l'Office fédéral de la statistique (ATF 126 V 76 consid. 3b/aa et bb). On se réfère alors à la statistique des salaires bruts standardisés, en se fondant toujours sur la médiane ou valeur centrale (ATF 124 V 323 consid. 3b/bb). Toutefois, si un assuré, en mesure sur le plan de la santé d'exercer une activité lucrative à plein temps, décide de son propre gré de réduire son horaire de travail pour s'accorder plus de loisirs ou pour poursuivre sa formation (ou son perfectionnement professionnel) ou si le marché du travail ne lui permet pas d'avoir une activité à plein temps, l'assurance-invalidité n'a pas à intervenir (ATF 131 V 51 consid. 5.1.2 et les références). C'est pourquoi,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146 consid. 5c/bb et les références). Selon le prescrit de la loi (art. 16 LPGA) et la jurisprudence constante du Tribunal fédéral, le salaire d'invalide est fixé sur la base de ce que l'assuré pourrait obtenir en exerçant l'activité qui peut raisonnablement être exigé de lui sur un marché du travail équilibré, ceci dans le droit sens, d'une part, de l'obligation qui lui est faite de diminuer son dommage et afin d'éviter, d'autre part, que ne soient pris en compte, dans le calcul du taux d'invalidité, des facteurs économiques étrangers à l'atteinte à sa santé. Par conséquent,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(ATF 110 V 276 consid. 4b; arrêt I 350/89 du 30 avril 1991 consid. 3b, in RCC 1991 p. 332; cf. ATF 130 V 346 consid. 3.2; arrêt du Tribunal fédéral 9C_695/2010 du 15 mars 2011 consid. 5 et les arrêts cités). 3. Selon l'art. 17 LPGA, si le taux d'invalidité du bénéficiaire de la rente subit une modification notable, la rente est, d'office ou sur demande, révisée pour l'avenir, à savoir augmentée ou réduite en conséquence, ou encore supprimée. Selon la jurisprudence, cet article s'applique également à la décision par laquelle l'organe de l'assurance-invalidité accorde une rente limitée dans le temps à titre rétroactif (ATF 125 V 413 consid. 2d et les références).</w:t>
      </w:r>
    </w:p>
    <w:p>
      <w:r>
        <w:t>Tribunal cantonal TC Page 6 de 11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Si la capacité de gain s'améliore, il y a lieu de considérer que ce changement supprime, le cas échéant, tout ou partie du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du règlement du 17 janvier 1961 sur l'assurance-invalidité [RAI; RS 831.201]; ATF 130 V 349 consid. 3.5).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 4. a)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n'existe-t-il pas, en droit des assurances sociales, un principe selon lequel l'administration ou le juge devrait statuer, dans le doute, en faveur de l'assuré (ATF 126 V 319 consid. 5a). b)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w:t>
      </w:r>
    </w:p>
    <w:p>
      <w:r>
        <w:t>Tribunal cantonal TC Page 7 de 11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consid. 1c).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Par ailleurs, l'on ne saurait remettre en cause une expertise ordonnée par l'administration ou un juge et procéder à de nouvelles investigations du seul fait qu'un ou plusieurs médecins traitants ont une opinion contradictoire (arrêt TF 9C_201/2007 du 29 janvier 2008 consid. 3.2).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5. Le litige porte sur l’évolution du taux d'invalidité de l'assurée, particulièrement sur l’évolution de sa capacité de travail résiduelle. En d'autres termes, il sied de vérifier si l'état de santé de la recourante s'est ou non modifié au point de devoir entraîner une diminution de sa perte de gain. a) La décision du 5 septembre 2008, octroyant une rente entière, constitue le point de départ temporel. Il s'agit en effet de la seule décision entrée en force qui repose sur un examen matériel du droit à la rente. L’incapacité de travail se fondait à l'époque sur l’appréciation du Dr B.________, spécialiste FMH en psychiatrie et psychothérapie qui, dans son rapport d’expert du 6 juin 2008, retenait la présence de troubles mentaux et du comportement liés à la prise de benzodiazépines, prise continue, d’un trouble dépressif récurrent, épisode actuel sévère sans symptôme psychotique, d’une phobie sociale et d’une personnalité émotionnellement labile de type borderline. L'expert a conclu à une incapacité de travail totale dès le 4 juillet 2007 pour une durée indéterminée. Il a en outre évoqué, à l'époque, une évolution défavorable de l'état de santé</w:t>
      </w:r>
    </w:p>
    <w:p>
      <w:r>
        <w:t>Tribunal cantonal TC Page 8 de 11 psychique de la recourante. Il n'était en revanche pas exclu d'envisager, selon lui, une amélioration permettant la reprise de son activité dans le futur. b) Pour supprimer la rente, l'OAI se fonde désormais sur l’avis du 19 mars 2016 du Dr D.________, spécialiste FMH en psychiatrie et psychothérapie. Cet expert diagnostique une phobie sociale circonscrite (F40.1) ayant une influence sur la capacité de travail de la recourante. En effet, celle-ci doit se limiter aux activités adaptées, se déroulant dans un cadre fixe et dans lesquelles les contacts sociaux sont restreints. Ainsi, les diagnostics n'ayant pas d'incidence sur la capacité de travail sont: un probable trouble hyperkinétique adulte, compensé (F90), un trouble anxieux sans précision, léger (F41.9), un trouble dépressif récurrent anamnestique, actuellement en rémission (F33.4). aa) Les conclusions de l'expert psychiatre sont fondées sur l'examen du dossier assécurologique - par le biais duquel il a pu avoir une pleine connaissance de l'anamnèse et de la situation médicale de l'intéressée - ainsi que sur son entrevue et son contact par téléphone avec l’assurée. Lors de ces entretiens, la recourante a été en mesure d'informer l'expert de ses difficultés et faiblesses. Pour sa part, l'expert a pu procéder a un examen complet comprenant, en particulier, un questionnaire d'autoévaluation, la passation de l'échelle psychopathologique AMDP (hétéro-évaluation) et la passation de l'échelle de ralentissement EDR (hétéro-évaluation) ainsi que l’échelle MADRS. Il s'est également entretenu avec le psychiatre traitant. Les tests sanguins qu’il a ordonnés n'attestent que d'une compliance partielle dans la prise des médicaments. Enfin, on note que l’expert à également procédé à l’établissement des indicateurs standards selon l’ATF 141 V 281. Par l'indication de divers points de réflexion, l'expert procède à l’analyse des diagnostics posés auparavant, sélectionnant le diagnostic le plus vraisemblable et le différenciant d'autres facteurs qui pourraient avoir une influence sur l’appréciation du cas. On peut en particulier relever que l'expert exclut d’une manière motivée la présence du diagnostic d’une personnalité borderline. On note dans ce contexte d’ailleurs que déjà le Dr B.________ indique dans le cadre de l’analyse du résultat de ces propres tests de personnalité que "ce type de profil hétérogène est difficilement interprétable". Ceci peut expliquer pourquoi le Dr D.________, en procédant à son propre examen, parvient - en l'absence d'indices pour la présence d'un trouble de personnalité - à une autre conclusion que l’expert précédent. Cela paraît d’autant plus plausible qu’entre temps la dépendance aux benzodiazépines a disparu. On relève que selon les propres dires de l’assurée à l’occasion de la nouvelle expertise, sa situation psychique se serait améliorée depuis qu'elle a, avec succès, passé un sevrage des médicaments benzodiazépines. L’expert exclut également que l'explorée soit atteinte d’une phobie sociale généralisée ou d’un important syndrome de nature anxieux. Dans ce contexte, il indique qu'à l’aide de son approche (système AMDP sous forme d'échelle psychopathologique) il est en mesure de différencier systématiquement les notions issues de l'expertisée (potentiellement influençables par des facteurs extra-médicaux tels que le ressentiment personnel du sujet, son éventuelle tendance à l'accentuation ou sa situation sociale) des observations de l'expert. Il souligne qu’on ne pouvait au moment de son examen plus constater la présence d’une symptomatologie anxieuse significative. Les observations qui ont pu être faites contredisent en soi la notion d'une phobie sociale sévère. Le psychiatre indique également qu’il y a une absence de fixation ou de suspicion d'un état</w:t>
      </w:r>
    </w:p>
    <w:p>
      <w:r>
        <w:t>Tribunal cantonal TC Page 9 de 11 émotionnel significativement perturbé ce qui lui permet d’exclure un état dépressif significatif et décompensé. Ainsi, il y a lieu de constater que les points litigieux importants ont fait l'objet d'une étude fouillée. L'appréciation médicale est claire et les conclusions de l'expert dûment motivées. Dès lors que le rapport d'expertise est en tous points conforme aux réquisits jurisprudentiels, il a en soi pleine valeur probante. L'autorité intimée était en droit de se baser sur cette analyse. bb) Les conclusions de l'expert-psychiatre ne sont, au demeurant, pas à mettre en doute par les pièces du dossier. Relevons d'emblée que, dans son rapport du 23 mars 2016, le Dr H.________, spécialiste FMH en anesthésiologie, médecin du SMR, confirme – par une motivation détaillée - la valeur probante de l'expertise du Dr D.________. De plus et se référant au dossier, il conclut aussi à une amélioration de l’état de santé de la recourante. Le Tribunal relève qu’il est tout à fait plausible que le sevrage des benzodiazépines soit effectivement un indice important démontrant que la situation pouvait évoluer favorablement. Ce d'autant plus que l’expert, à l’époque de l’octroi de la rente, faisait alors état de l'influence non négligeable de la dépendance sur son état de santé psychique. On constate que les rapports du médecin traitant, Dr C.________, ont précisément - en raison de certaines contradictions - conduit à ce que l’assurée soit amenée à consulter un expert neutre. Ce dernier à fait référence à l’avis du médecin traitant tout en indiquant d’une manière détaillée pour quelles raisons il s’écartait des diagnostics d’un trouble anxieux généralisé (TAG), incluant la phobie sociale, un TDAH et une personnalité borderline relatée dans les rapports du 9 mars 2015 du Dr C.________. Cette analyse est parfaitement convaincante et repose sur de propres constatations et des tests psychométriques. Elle ne saurait être remis en cause. En outre, le Dr C.________ proposait en 2015 le suivi d’une psychothérapie orientée sur les troubles anxieux, une fois la phase de stabilisation de la médication passée. On peut s’étonner d’une telle détermination dans la mesure où ce praticien suivait sa patiente depuis 2013 déjà. Enfin, les propos de ce médecin n’excluent pas totalement une éventuelle réintégration dans le marché de travail. En effet, il mentionne lui-même la nécessité d'examiner dans le futur la possibilité pour la patiente de travailler hors d’un atelier protégé (cf. rapport du 9 mars 2015). Dans son rapport du 3 février 2017, la Dresse E.________, spécialiste FMH en psychiatrie et psychothérapie, médecin traitant de la recourante depuis le départ à la retraite du Dr C.________, se contente d'affirmer suivre la patiente depuis le 10 août 2016 et ce pour une durée indéterminée et confirme une incapacité totale de travail de cette dernière sans pourtant indiquer sur la base de quel diagnostic, voire symptôme, elle parvient à cette conclusion. Manifestement un tel certificat ne saurait remettre en cause l’appréciation de l’expert dont le rôle était précisément d’éclaircir la situation sur l’état de santé de la recourante suite à des certificats de l’ancien psychiatre traitant comportant un certain nombre de contradictions telles que relevées par l’autorité dans sa réponse au recours. La praticienne ne s’explique pas d’avantage dans son certificat médical du 3 juillet 2017 attestant toujours et simplement d’une incapacité de travail totale sans diagnostic.</w:t>
      </w:r>
    </w:p>
    <w:p>
      <w:r>
        <w:t>Tribunal cantonal TC Page 10 de 11 Les autres pièces déposées dans le cadre du recours ne sont manifestement pas aptes non plus à remettre en cause l’appréciation faite ci-dessus. Dans son certificat médical du 24 avril 2017, le Dr F.________, spécialiste FMH en orthopédie, signale une incapacité de travail de 50% entre le 24 avril et le 15 mai 2017 en raison de maladie, sans poser de diagnostic. Cette incapacité de travail est postérieure à la décision litigieuse et ce praticien n’atteste pas d’une atteinte durable. On note dans ce contexte que les quelques indications de la recourante relatives à des douleurs à l’épaule - sans précisions sur leur nature et leurs effets dans la vie quotidienne - n'étaient manifestement pas suffisantes pour obliger l’assurance à procéder à des investigations supplémentaires quant au côté somatique, cela d’autant plus que l’activité retenue pour la comparaison des revenus est de type léger. Enfin, le certificat médical du Dr G.________, médecin généraliste FMH, du 22 février 2017 attestant d’une incapacité totale de travail en raison de maladie, sans pourtant poser un quelconque diagnostic précis non plus, émane d’un médecin généraliste et ne contient aucune motivation se référant aux constatations faites par l’expert. Le Tribunal tient toutefois à signaler que pour toute la période durant laquelle la recourante a bénéficié de la rente, celle-ci s’est montrée peu collaborante. Elle a par ailleurs été sommée de transmettre plusieurs certificats du suivi psychiatrique (pour les mois de mai, juin et juillet 2016, cf. lettre du 19 juillet 2016). Cette attestation fait d’ailleurs toujours défaut au dossier, si bien qu’on peut douter d’un tel suivi pour les mois en question. S’y ajoute l’absence d’une compliance rigoureuse, qui est documentée non seulement par l’expert mais également confirmée par l’ancien psychiatre (cf. son rapport du 9 mars 2015). La recourante ne saurait se contenter d'affirmer, dans son écriture, suivre le traitement pharmacologique et produire une liste manuscrite des médicaments qu’elle consomme, pour contredire ces constatations. Dans le contexte précité, ce comportement vient confirmer le point de vue de l’expert qui constate l’absence d’une maladie invalidante en soulignant le contraste entre la gravité des troubles allégués, une présentation clinique relativement modeste et vague, et des objectivations relativement rassurantes. cc) Force est dès lors de constater que depuis l’expertise du Dr B.________, les troubles mentaux et du comportement liés à l'utilisation continue à l’époque de benzodiazépines, sont actuellement en rémission complète et durable. Le trouble dépressif récurrent, épisode sévère sans symptômes psychotiques, diagnostiqué également en 2008, est également actuellement en rémission selon le Dr D.________, dont l’analyse peut être confirmée. Il s’ensuit que l’état de santé de la recourante a manifestement subi des changements dans le sens d’une nette amélioration et permettait à l’OAI de réviser sa décision admettant que la recourante a retrouvé une capacité de gain dans une activité industrielle légère sans d’importants contacts sociaux. dd) Dans la décision du 19 janvier 2017, l'OAI s'est fondé sur un revenu de valide d CHF 31'890.- provenant de l’activité d’aiguiseuse et un revenu d'invalide de CHF 54'008.15. Ces montants ne sont pas contestés. Ils n'apparaissent au demeurant pas devoir faire l'objet de critiques, puisque cela semble bien avoir été le choix personnel de la recourante de se contenter d’une activité de valide qui ne lui permettait l’acquisition d’un revenu nettement en dessous de la moyenne. Il ne découle ainsi aucune perte de gain de la comparaison des revenus, et cela même si l'on devait procéder à un abattement sur le salaire statistique d'invalide. C'est dès lors à juste</w:t>
      </w:r>
    </w:p>
    <w:p>
      <w:r>
        <w:t>Tribunal cantonal TC Page 11 de 11 titre que la rente entière octroyée jusqu'alors a été supprimée au 1er jour du deuxième mois qui suit la décision, soit au 28 février 2017. Pour ces motifs, le recours contre la décision du 19 janvier 2017 doit être rejeté et la suppression de la rente entière au 28 février 2017 confirmée. La procédure n'étant pas gratuite, les frais de justice, fixés à CHF 800.-, sont mis à la charge de la recourante qui succombe. la Cour arrête: I. Le recours est rejeté. II. Les frais de justice, fixés à CHF 800.-, sont mis à la charge de la recourante; ils sont compensés avec l'avance de frais versée.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septembre 2017/jfr/rfr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