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229 vom 28. Mai 2018</w:t>
      </w:r>
    </w:p>
    <w:p>
      <w:r>
        <w:t>FR Kantonsgericht, 2018-05-28, FR</w:t>
      </w:r>
    </w:p>
    <w:p>
      <w:r>
        <w:rPr>
          <w:b/>
        </w:rPr>
        <w:t xml:space="preserve">Quelle: </w:t>
      </w:r>
      <w:r>
        <w:t>https://mcp.opencaselaw.ch/entscheid/fr_gerichte_608_2017_229</w:t>
      </w:r>
    </w:p>
    <w:p>
      <w:r>
        <w:t>FR: FR_GERICHTE 608 2017 229 du 28 mai 2018</w:t>
      </w:r>
    </w:p>
    <w:p>
      <w:r>
        <w:t>IT: FR_GERICHTE 608 2017 229 del 28 maggio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 signé par le recourant et sa curatrice – est recevable. Il y a lieu de préciser que, par acte de nomination du 23 mai 2017, une curatelle de représentation et de gestion du patrimoine au sens des art. 394 al. 1 et 395 al. 1 CC a été instaurée pour le recourant par la Justice de paix de l'arrondissement de la Sarine. Cette mesure tutélaire n'est pas assortie d'une restriction des droits civils; partant, le recourant peut agir valablement en son nom.</w:t>
      </w:r>
    </w:p>
    <w:p>
      <w:r>
        <w:t>Tribunal cantonal TC Page 3 de 6</w:t>
      </w:r>
    </w:p>
    <w:p>
      <w:r>
        <w:rPr>
          <w:b/>
        </w:rPr>
        <w:t>E. 2.1</w:t>
      </w:r>
    </w:p>
    <w:p>
      <w:r>
        <w:t>Conformément à l'art. 42 al. 1 de la loi du 20 décembre 1946 sur l'assurance-vieillesse et survivants (LAVS; RS 831.10; en corrélation avec l'art. 39 al. 1 de la loi du 19 juin 1959 sur l'assurance-invalidité, LAI; RS 831.20), les ressortissants suisses qui ont leur domicile et leur résidence habituelle (art. 13 de la loi du 6 octobre 2000 sur la partie générale du droit des assurances sociales, LPGA; RS 830.1)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En vertu de l'art. 13 LPGA, le domicile correspond au domicile civil selon les art. 23 à 26 CC (al. 1), tandis que la résidence habituelle correspond au lieu où la personne concernée séjourne un certain temps même si la durée de ce séjour est d'emblée limitée (al. 2; sur le caractère autonome de ces deux notions, voir KIESER, ATSG-Kommentar, 2e éd. 2009, art. 13 LPGA n° 13 ss; voir également rapport du 27 septembre 1990 de la Commission du Conseil des Etats sur l'initiative parlementaire "Partie générale du droit des assurances sociales" [FF 1991 II 181, 245 ch. 41] et rapport du 26 mars 1999 de la Commission du Conseil national de la sécurité sociale et de la santé sur l'initiative parlementaire "Droit des assurances sociales" [FF 1999 4168, 4198 ch. 52]).</w:t>
      </w:r>
    </w:p>
    <w:p>
      <w:r>
        <w:rPr>
          <w:b/>
        </w:rPr>
        <w:t>E. 2.2</w:t>
      </w:r>
    </w:p>
    <w:p>
      <w:r>
        <w:t>Au sens des art. 13 al. 1 LPGA et 23 al. 1, 1ère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TFA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w:t>
      </w:r>
    </w:p>
    <w:p>
      <w:r>
        <w:rPr>
          <w:b/>
        </w:rPr>
        <w:t>E. 2.3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w:t>
      </w:r>
    </w:p>
    <w:p>
      <w:r>
        <w:t>Tribunal cantonal TC Page 4 de 6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voir également arrêt TF 9C_729/2014 du 16 avril 2015 consid. 3; voir pour le tout, ATF 141 V 530 consid. 5).</w:t>
      </w:r>
    </w:p>
    <w:p>
      <w:r>
        <w:rPr>
          <w:b/>
        </w:rPr>
        <w:t>E. 2.4</w:t>
      </w:r>
    </w:p>
    <w:p>
      <w:r>
        <w:t>On peut encore préciser que la rente extraordinaire présente des caractéristiques propres à la sécurité sociale en ce sens que les intéressés ont un droit clairement défini à cette prestation et qu'elle couvre le risque d'invalidité; d'autre part, elle s'apparente à l'assistance sociale, en ce qu'elle ne repose pas sur des périodes d'activité ou de cotisation et qu'elle vise à atténuer un état de besoin en assurant un revenu minimal vital à un groupe socialement défavorisé. La rente extraordinaire est ensuite une prestation spéciale, puisqu'elle constitue une allocation de remplacement destinée aux personnes qui ne remplissent pas les conditions d'assurance pour obtenir une rente d'invalidité ordinaire; elle est étroitement liée au contexte socio-économique en Suisse, puisqu'elle correspond à la pension minimale dans cet Etat. Enfin, la rente extraordinaire a un caractère non contributif, parce qu'elle n'est pas financée par des contributions, mais exclusivement par la Confédération. C'est dans cette nature de la prestation que réside la justification d'interdire l'exportation de la rente extraordinaire (cf. pour le tout, ATF 141 V 530 consid. 7).</w:t>
      </w:r>
    </w:p>
    <w:p>
      <w:r>
        <w:rPr>
          <w:b/>
        </w:rPr>
        <w:t>E. 3.1</w:t>
      </w:r>
    </w:p>
    <w:p>
      <w:r>
        <w:t>On rappellera au recourant que, sur le vu de ce qui vient d'être exposé, il se justifie de lier le versement de sa rente extraordinaire à la condition qu'il maintienne non seulement son domicile mais également sa résidence habituelle en Suisse, seules les exceptions citées ci-dessus entrant en ligne de compte pour des séjours prolongés à l'étranger.</w:t>
      </w:r>
    </w:p>
    <w:p>
      <w:r>
        <w:rPr>
          <w:b/>
        </w:rPr>
        <w:t>E. 3.2</w:t>
      </w:r>
    </w:p>
    <w:p>
      <w:r>
        <w:t>Ceci dit, au regard des circonstances de la présente affaire et des indices sur lesquels repose la décision litigieuse, il y a lieu de considérer que le recourant a conservé tant son domicile civil que sa résidence habituelle en Suisse. Certes et comme le décrit l'autorité intimée dans sa réponse, le recourant avait déclaré vouloir s'installer à B.________ (cf. lettre du Service des curatelles de C.________ du 20 septembre 2015; rapport d'entretien à l'OAI du 26 mai 2017). Toutefois, pour des raisons financières, il a abandonné ce projet pour reprendre son domicile en Suisse depuis le 21 avril 2016 à D.________, puis à E.________ depuis le 17 décembre 2016 (cf. lettre de la Caisse suisse de compensation du 15 avril 2016). Depuis, aucune démarche n'a été entreprise par le recourant afin de se constituer un nouveau domicile civil à B.________. Notamment, il n'a pas été procédé au dépôt de ses papiers à l'étranger. Certes, cet élément ne constitue qu'un indice (cf. ATF 125 III 100 consid. 3), insuffisant à lui seul pour établir la volonté du recourant de garder en Suisse le centre de ses relations personnelles. En connaissant le risque de perdre sa rente extraordinaire, il est d'ailleurs peu probable que le recourant ait pris la décision de s'installer officiellement à B.________. En outre, celui-ci est toujours assuré en Suisse et paie un loyer en Suisse. Par ailleurs, il a également gardé sa curatelle en Suisse, ce qui implique non seulement un certain lien mais permet également un contrôle officiel de ce qu'il persiste des relations suffisantes justifiant la compétence ratione loci des autorités cantonales de la protection de l'enfant et de l'adulte. Notons enfin que l'aide sociale</w:t>
      </w:r>
    </w:p>
    <w:p>
      <w:r>
        <w:t>Tribunal cantonal TC Page 5 de 6 de la Ville de E.________ a été sollicitée suite à la suppression de la rente extraordinaire. Or, selon l'art. 1 de la loi fribourgeoise du 14 novembre 1991 sur l'aide sociale (LASoc; RSF 831.0.1), seules peuvent bénéficier de l'aide sociale les personnes domiciliées, séjournant ou de passage dans le canton, ce qui implique en principe une présence physique. Il convient de constater dans ce contexte qu'on ne se trouve en l'espèce pas dans la situation où il s'agit de créer un nouveau domicile mais où il incombe à l'assurance de prouver que les conditions du domicile et de la résidence habituelle ne sont plus remplies. En ce qui concerne plus particulièrement la condition de la résidence habituelle, on peut renvoyer à la jurisprudence précitée. Selon celle-ci, certains séjours à l'étranger font en effet objectivement obstacle à la présence habituelle d'une personne en Suisse ("tatsächlicher Aufenthalt"). Sont cependant tolérés notamment des séjours de courte durée à l'étranger, lorsque ils ne dépassent pas le cadre de ce qui est généralement admis; leur durée ne saurait dépasser une année. Ils reposent sur des raisons telles que visite, vacances, affaires, cure, formation. Un séjour prolongé peut aussi être justifié par des tâches d'assistance. Or, en l'espèce, la mère du recourant habite à B.________ et son état de santé s'est aggravé à partir du mois de février 2017. Le recourant indique qu'il se rend également à B.________ pour s'occuper de cette dernière. Dans ce contexte, même la durée (non contestée) de 146 jours entre les mois de février et août 2017 passés à B.________ ne saurait encore constituer une preuve suffisante pour suspendre le droit au versement de la rente extraordinaire. Il y a lieu d'apprécier cette période à la lumière de la jurisprudence citée ci-dessus, prévoyant notamment des situations où le séjour à l'étranger peut même dépasser une année. De même, il faut dans ces conditions de plus examiner si les durées applicables en droit des prestations complémentaires (PC) – 183 jours par an selon les indications de la Caisse de compensation – peuvent sans autre être reprises pour apprécier les notions de domicile et de résidence habituelle du CC. Du reste, on constate que même le délai en question n'était pas consommé au moment de la décision litigieuse. Dans ces conditions, il ne suffit pas que des montants aient été versés sur un compte à B.________ où vit la mère du recourant, assistée également financièrement par son enfant, pour en conclure que la résidence habituelle à E.________ est abandonnée. En effet, outre le fait que l'accès au compte peut être donné à quelqu'un d'autre, le recourant a effectivement séjourné pendant une certaine durée à B.________ sans que ce fait ne soit décisif comme on vient de le voir. Au vu des dires du recourant et en application du principe de confiance, celui-ci a également le droit de connaître ce que l'OAI considère comme "généralement admissible" dans le contexte de sa situation personnelle et en tenant compte d'une mère malade à l'étranger. A cet effet, la Cour de céans renvoie à l'art. 27 LPGA. Certes, le dossier contient des indications selon lesquelles des renseignements lui ont été fournis quant au maintien du droit aux PC en cas de séjours à l'étranger. Cela étant, il s'agit ici d'examiner la question du domicile et de la résidence habituelle selon les règles du CC, de sorte que ces renseignements ne sauraient être considérés comme suffisants à cet égard. Le Tribunal constate également que l'autorité a omis d'inclure l'autorité tutélaire dans ses instructions comme il l'a d'ailleurs été suggéré le 16 août 2017 par la Caisse de compensation. En effet, la lettre de cette dernière ne peut être comprise que dans le but de signaler quelques indices nécessitant des mesures d'instruction complémentaires. De plus, étant donné que la curatelle concerne la représentation ainsi que la gestion du patrimoine et que l'éventuel départ de Suisse a des conséquences évidentes sur les revenus du recourant – étant dans le besoin d'être</w:t>
      </w:r>
    </w:p>
    <w:p>
      <w:r>
        <w:t>Tribunal cantonal TC Page 6 de 6 conseillé quant à ces aspects – il incombait à l'OAI, pour cette raison également, de prendre des renseignements auprès de cette autorité, respectivement d'en donner, afin que celle-ci puisse conseiller son client en pleine connaissance de cause. Ce n'est qu'à ce moment-là que ce dernier – pour lequel l'autorité tutélaire a jugé nécessaire d'instaurer une mesure d'assistance – pourra former sa volonté de déplacer son domicile à l'étranger ou d'adopter un comportement qui fera obstacle à pouvoir admettre la résidence habituelle en Suisse.</w:t>
      </w:r>
    </w:p>
    <w:p>
      <w:r>
        <w:rPr>
          <w:b/>
        </w:rPr>
        <w:t>E. 3.3</w:t>
      </w:r>
    </w:p>
    <w:p>
      <w:r>
        <w:t>Au vu de ce qui précède, il convient de constater que, sur la base du dossier, on ne peut pas admettre que le recourant a déplacé son domicile à l'étranger ou qu'il n'a plus de résidence habituelle en Suisse.</w:t>
      </w:r>
    </w:p>
    <w:p>
      <w:r>
        <w:rPr>
          <w:b/>
        </w:rPr>
        <w:t>E. 4</w:t>
      </w:r>
    </w:p>
    <w:p>
      <w:r>
        <w:t>Partant, le recours est admis et la décision de l'OAI du 31 août 2017 est annulée. Les frais de procédure, par CHF 400.-, sont mis à la charge de l'autorité intimée qui succombe. Au vu de l'issue du litige, la demande d'assistance judiciaire (608 2017 244) devient sans objet. la Cour arrête: I. Le recours (608 2017 229) est admis. Partant, la décision de l'Office de l'assurance-invalidité du canton de Fribourg du 31 août 2017 est annulée. II. Les frais de procédure, par CHF 400.-, sont mis à la charge de l'Office de l'assurance- invalidité du canton de Fribourg. III. La demande d'assistance judiciaire (608 2017 244), devenue sans objet, est rayée du rôle.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mai 2018 /jfr/vth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