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218 vom 1. Oktober 2018</w:t>
      </w:r>
    </w:p>
    <w:p>
      <w:r>
        <w:t>FR Kantonsgericht, 2018-10-01, FR</w:t>
      </w:r>
    </w:p>
    <w:p>
      <w:r>
        <w:rPr>
          <w:b/>
        </w:rPr>
        <w:t xml:space="preserve">Quelle: </w:t>
      </w:r>
      <w:r>
        <w:t>https://mcp.opencaselaw.ch/entscheid/fr_gerichte_608_2017_218</w:t>
      </w:r>
    </w:p>
    <w:p>
      <w:r>
        <w:t>FR: FR_GERICHTE 608 2017 218 du 1 octobre 2018</w:t>
      </w:r>
    </w:p>
    <w:p>
      <w:r>
        <w:t>IT: FR_GERICHTE 608 2017 218 del 1 ottobre 2018</w:t>
      </w:r>
    </w:p>
    <w:p>
      <w:pPr>
        <w:pStyle w:val="Heading2"/>
      </w:pPr>
      <w:r>
        <w:t>Regeste</w:t>
      </w:r>
    </w:p>
    <w:p>
      <w:r>
        <w:t>Arrêt de la IIe Cour des assurances sociales du Tribunal cantonal | Invalidenversicherung</w:t>
      </w:r>
    </w:p>
    <w:p>
      <w:pPr>
        <w:pStyle w:val="Heading2"/>
      </w:pPr>
      <w:r>
        <w:t>Erwägungen</w:t>
      </w:r>
    </w:p>
    <w:p>
      <w:r>
        <w:rPr>
          <w:b/>
        </w:rPr>
        <w:t>E. 30</w:t>
      </w:r>
    </w:p>
    <w:p>
      <w:r>
        <w:t>novembre 2017. Le 16 mai 2018, elle dépose une pièce de son assureur perte de gain, du 2 du même mois.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Un taux d’invalidité de 40% au moins donne droit à un quart de rente; de 50% au moins, à une demi-rente; de 60% au moins, à trois-quarts de rente; et de 70% au moins, à une rente entière (art. 28 al. 2 LAI). 2.2.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w:t>
      </w:r>
    </w:p>
    <w:p>
      <w:r>
        <w:t>Tribunal cantonal TC Page 4 de 10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Un rapport médical qui émane d'un service médical régional (SMR) au sens de l'art. 69 al. 4 du règlement du 17 janvier 1961 sur l'assurance-invalidité (RAI; RS 831.201), a valeur probante s'il remplit les exigences requises par la jurisprudence sur le contenu des rapports médicaux (cf. arrêt TF 9C_600/2010 du 21 janvier 2011 consid. 2; I 573/04 du 10 novembre 2005 consid. 5.5; I 523/02 du 28 octobre 2002 consid. 3). Les avis médicaux du SMR ont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(arrêt TF 9C_542/2011 du 26 janvier 2012 consid. 4.1). Si les rapports du SMR selon l'art. 49 al. 2 RAI ne constituent pas des expertises au sens de l'art. 44 LPGA, leur valeur probante est cependant comparable à celles-ci, si elles satisfont aux exigences définies par la jurisprudence en matière d'expertise médicale (ATF 135 V 254 consid. 3.3 et 3.4; arrêt TF 9C_600/2010 du 21 janvier 2011 consid. 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2.3. 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w:t>
      </w:r>
    </w:p>
    <w:p>
      <w:r>
        <w:t>Tribunal cantonal TC Page 5 de 10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 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2.4.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(cf. ATF 130 V 343 consid. 3.5). Dès lors, il peut y avoir également un changement fondant une révision dans le cas où un diagnostic est certes demeuré le même, mais que l'affection s'est modifiée dans son intensité et son influence sur la capacité de travail (cf. arrêt TF 8C_339/2001 du 25 août 2015 consid. 3.1 et les références). Une simple appréciation différente d'un état de fait, qui, pour l'essentiel, est demeuré inchangé n'appelle en revanche pas à une révision au sens de l'art. 17 LPGA (ATF 112 V 371 consid. 2b; 387 consid. 1b). Déterminer si un tel changement s'est produit doit être tranché en comparant les faits tels qu'ils se présentaient au moment, respectivement, de la décision initiale de rente ou de la dernière décision qui repose sur un examen matériel du droit à la rente, avec une constatation des faits pertinents, une appréciation des preuves et une comparaison des revenus conformes au droit (ATF 133 V 108 consid. 5.4), d'une part, et les circonstances régnant à l'époque de la décision litigieuse, d'autre part (cf. ATF 130 V 351 consid. 3.5.2; 126 V 75 consid. 1b; 125 V 369 consid. 2 et la référence citée; voir également ATF 112 V 372 consid. 2b et 390 consid. 1b).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w:t>
      </w:r>
    </w:p>
    <w:p>
      <w:r>
        <w:t>Tribunal cantonal TC Page 6 de 10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1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3. La question litigieuse est de savoir si l'assurée peut (encore) se prévaloir d'une invalidité ouvrant le droit à une rente. Pour y répondre, l'Autorité de céans devrait comparer la situation existant lors du dernier examen matériel à celle prise en compte dans le cadre de la procédure ayant abouti à la décision attaquée. A cet égard, le fait que l'assurée soutienne désormais que sans atteinte à la santé, elle travaillerait à 100% (cf. dos. OAI 420), ce qui n'est pas contesté par l'OAI, justifiait déjà une procédure de révision, la méthode mixte de fixation du taux d'invalidité devant être remplacée par celle de comparaison des revenus. Cependant, s'agissant de cette procédure de révision mise en œuvre en 2016, les éléments qui suivent doivent d'emblée être mis en exergue. 3.1. Lors de la nouvelle procédure de révision, il est apparu que depuis le 1er septembre 2014, l'assurée exerçait une activité salariée d'aide de cuisine (vaisselle, préparation des légumes, nettoyage du sol; cf. questionnaire pour l'employeur du 28 novembre 2016, dos. OAI p. 390). L'employeur indiqua notamment que l'intéressée devait souvent soulever ou porter des charges qualifiées de légères, entre 0 et 10 kg, rarement celles plus lourdes que ce dernier poids; que faire la vaisselle était assez physique, dès lors qu'on était souvent penché dans les bacs à plongée; qu'elle donnait entière satisfaction; qu'elle avait connu très peu d'absences (quelques jours en 2015), et qu'elle travaillait une moyenne de 3.43 h par jour et 17.15 h par semaine. 3.2. Sur le plan médical, les pièces suivantes furent déposées: - Le rapport du Dr B.________, médecine générale, médecin traitant depuis 2014, rapport enregistré le 6 janvier 2017 (dos. OAI 408). Y sont posés les diagnostics de maladie arthrosique (épaule, bras, hanche et genoux; depuis 2000), de diabète insulino-dépendant (depuis 2014) et de dépression réactionnelle (depuis 2010). Au point 1.7, Questions sur l'activité exercée à ce jour, sous Enumération des restrictions physiques, mentales ou psychiques existantes, il est indiqué: horaires de travail adaptés (2 à 3 h dans la journée + 2 à 3 h dans la soirée); à la question de savoir si du point de vue médical l'activité exercée est encore exigible, le praticien répond oui, à 80% et sans réduction de rendement; au point de savoir dans quelle mesure (heures par jour), avec profil du point de vue des charges et depuis quand une activité adaptée au handicap est possible, il écrit: "Prévision d'une diminution de la capacité de travail". Dans l'annexe relative aux travaux pouvant encore être exigés, compte tenu des limitations dues à l'état de santé, dans le cadre d'une activité adaptée à son handicap, le médecin indique que, hormis celles accroupie, à genoux, ou impliquant de devoir monter sur une échelle ou un échafaudage, toutes les activités peuvent être exercées, sans limitation autre que la résistance. Quant à la durée exigible de ces activités, il mentionne 6h par jour, avec une performance (rendement) de 60%. La limite de poids est à 10kg.</w:t>
      </w:r>
    </w:p>
    <w:p>
      <w:r>
        <w:t>Tribunal cantonal TC Page 7 de 10 - Le rapport du Dr C.________, médecine générale, du SMR, du 16 mars 2017 (dos. OAI p. 418). Pour le médecin, il y certainement une modification de l'état de santé depuis la décision du 15 novembre 2011 dans le sens d'une amélioration au moins depuis le 1er septembre 2014, date de l'engagement de l'assurée comme aide de cuisine à l'heure. Cela est confirmé par le médecin traitant puisque les atteintes qu'il mentionne l'ont déjà été auparavant, que celle psychique ne nécessite toujours pas de suivi de spécialiste, et qu'elles n'empêchent pas l'exercice régulier de cette activité physique à environ 50%, taux et rendement inclus. Dès lors, il est possible d'en déduire que cet état de santé ne contre-indique pas une capacité de travail de 100% dans une activité adaptée, éventuellement avec une perte de rendement de l'ordre de 10% en raison de la nécessité de changer régulièrement de position suite aux troubles dégénératifs. Ce sont donc les répercussions sur la capacité de travail de l'état de santé inchangé qui se sont modifiées, depuis le 1er septembre 2014, ce dans le sens d'une capacité de travail comme aide de cuisine de l'ordre de 50%, taux et rendement inclus, et d'une capacité de 100% avec 10% de diminution de rendement dans une activité légère, principalement assise, ménageant le dos et permettant les changements de position assis-debout au gré de l'assurée. - Le certificat du médecin traitant B.________, du 9 mai 2017, attestant d'un suivi pour affections chroniques responsables d'un état général physique et psychique incompatible avec une reprise de travail à 100% et nécessitant une réévaluation au niveau de l'AI (dos. OAI 428). - Le rapport du Dr B.________, du 2 juillet 2017 (dos. OAI 433). Qui, pour l'essentiel, a le même contenu que celui précédemment établi. Parmi les modifications, figurent la mention de l'atteinte arthrosique aux poignets, celle d'un pronostic moyen alors qu'il était qualifié de bon auparavant, celle des restrictions dans l'activité actuelle dues aux douleurs articulaires et à la fatigabilité. Dans l'annexe au rapport médical relative à la réinsertion professionnelle, il est écrit que la répercussion de l'atteinte à la santé sur l'activité exercée jusqu'ici est constituée par une majoration des douleurs articulaires, que l'activité est encore exigible, 4 heures par jour au lieu de 6, sans diminution du rendement, que la capacité de travail à ce poste peut être améliorée par une réduction des heures de travail; et que l'exercice d'une autre activité n'est pas exigible, qu'il y aurait une diminution du rendement, avec une limitation par les douleurs articulaires. - Le rapport du Dr C.________, SMR, du 12 juillet 2017 (dos. OAI 440). Se prononçant sur ce dernier document médical, le médecin considère qu'il ne met pas en cause ses précédentes conclusions dès lors que le médecin traitant reprend exactement les termes et diagnostics de son rapport antérieur; et qu'il atteste toujours d'une capacité de travail de 80% dans l'activité actuelle, qu'il envisage de prévoir une diminution du taux d'activité à 60%, mais qu'il n'évoque pas d'argument concret ni n'évoque de fait nouveau permettant d'envisager cette éventualité. 3.3. La Cour retient ce qui suit: C'est en se référant aux deux rapports du médecin traitant B.________ que le médecin du SMR fonde sa conclusion selon laquelle l'état de santé de l'assurée ne s'est pas modifié depuis la dernière décision matérielle, mais ses effets sur la capacité de travail, oui, depuis au moins le 1er septembre 2014, début de l'activité d'aide de cuisine. Or, la compréhension de ces deux rapports est parfois malaisée, notamment s'agissant du taux auquel l'activité actuelle peut être exercée, ainsi que de la possibilité d'une (autre) activité adaptée. Par exemple, le praticien y indique que l'activité actuelle peut être exercée à 80% et sans réduction du rendement, mais ajoute qu'il faut prévoir, à l'avenir, une réduction à 60%, tout en tenant déjà compte d'une performance, d'un rendement de 60% uniquement. Il considère, sans expliquer pourquoi, que l'exercice d'une autre activité n'est pas exigible, mais évoque néanmoins une</w:t>
      </w:r>
    </w:p>
    <w:p>
      <w:r>
        <w:t>Tribunal cantonal TC Page 8 de 10 diminution du rendement pour celle-ci du fait d'une limitation par les douleurs articulaires, sans quantifier cependant cette diminution. Et au vu du contenu très semblable de ces deux rapports, l'on discerne mal les éléments justifiant, selon le praticien, une réévaluation de la situation et leur portée quant à la capacité de travail, les limitations fonctionnelles, la possibilité d'une activité adaptée, etc. Dans son premier écrit, le médecin du SMR paraît avoir admis "une réduction à 60%" et la considérer comme déjà intervenue dans la mesure où il retient une capacité de travail dans l'activité actuelle à environ 50%, taux et rendement compris. Ce qui correspond, peu ou prou, aux 60% des 80% de 8h quotidiennes; ou aux 50% de ces dernières. Cependant, alors que, précisément, dans son second rapport, après avoir demandé une réévaluation de la situation, le Dr B.________ indique que l'activité est encore exigible 4 heures par jour au lieu de 6, sans diminution de rendement, soit, dans les faits, une exigibilité semblable à celle retenue par le SMR, celui-ci soutient dans son second avis que n'ont été évoqués ni un argument concret ni un fait nouveau permettant d'envisager l'éventualité d'une diminution du taux d'activité à 60%. Une explication quant à ce qui paraît une modification de l'appréciation de la situation n'est pas fournie par le médecin, ni demandée par l'OAI. Qui au reste, dans sa décision, admettra que l'activité actuelle d'aide de cuisine ne peut être exercée qu'à 50%, sans perte de rendement. Cette divergence d'appréciation est d'autant plus problématique que les deux écrits du SMR ne constituent que de simples avis au sens rappelé plus haut. Non une expertise ou des examens réalisés en conformité de l’art. 49 al. 2 RAI, fondés sur le dossier médical de l’intéressée, une anamnèse détaillée, un examen clinique, etc., et dont la valeur probante serait comparable à une expertise au sens de l’art. 44 LPGA dès lors qu’ils satisferaient aux exigences définies par la jurisprudence en matière. Qui plus est, ces avis du SMR se réfèrent (synthèse) aux deux rapports du médecin traitant, qui sont les seuls ayant été déposés dans le cadre de la procédure de révision s'étant terminée par la décision attaquée. Aucun complément médical, aucun éclaircissement ne furent demandés au Dr B.________ quant aux éléments peu clairs ou guère motivés évoqués ci-dessus, quant à la cause, la portée et la date de survenance de l'éventuelle altération de la situation de sa patiente (majoration des douleurs articulaires, fatigabilité, …?), etc. Le SMR s'en tint à ses conclusions et ne formula aucune proposition d'investigation ou de complément quant à l'instruction médicale. Aucun autre médecin que le médecin traitant n'a en particulier procédé à un examen clinique. De plus, l'appréciation du SMR selon laquelle l'assurée est en mesure d'exercer une activité adaptée à 100% avec une perte de rendement de 10% n'est rapportée par aucun autre médecin, singulièrement pas par le Dr B.________. Aucun docteur n'a expliqué pourquoi il y aurait lieu d'admettre une diminution de rendement de 50% et/ou une limitation d'activité à ce taux dans la profession actuelle d'aide de cuisine, mais, dans une activité adaptée, une perte de rendement de 10%, et non de quelque autre taux que ce soit. Il n'a pas non plus été soutenu par un médecin, de façon motivée, en lien cas échéant avec un examen clinique, en quoi à cet égard l'état de santé se serait modifié de façon déterminante ou en quoi ses conséquences sur la capacité de gain auraient connu un changement important depuis la décision de novembre 2011, en quoi l'affection se serait ainsi modifiée dans son intensité et son influence sur la capacité de travail. En d'autres termes, ces éléments n'ont pas été vérifiés par le biais d'un examen clinique idoine, cas échéant réalisé par le SMR lui-même; or, à défaut, l'on ne peut considérer ici que de telles appréciations du</w:t>
      </w:r>
    </w:p>
    <w:p>
      <w:r>
        <w:t>Tribunal cantonal TC Page 9 de 10 SMR faites sur la seule base de rapports d'un médecin traitant, qui plus est non dépourvus d'ambiguïté, étaient suffisantes. En revanche, force est de constater que, même si de façon non motivée et/ou confuse, le médecin traitant a exclu l'exigibilité d'une activité adaptée, et qu'il a certifié, le 9 mai 2017, que l'état de l'assurée était incompatible avec une reprise de travail à 100%. 3.4. Au vu de l'ensemble du dossier et de ce qui précède, la Cour ne dispose pas de moyens de preuve médicaux lui permettant de porter un jugement valable, une appréciation circonstanciée sur l'état de santé de l'assurée et de ses conséquences sur la capacité de travail au moment où fut rendue la décision attaquée. L'absence, respectivement, d'examen (suffisant) et de réponses quant à des éléments déterminants, ainsi que d'éclaircissement et d'étaiement d'affirmations et de points de vue des (seuls) médecins s'étant prononcés, justifie de renvoyer la cause à l'OAI pour qu'il complète l'instruction sur le plan médical, puis rende une nouvelle décision. 3.5. Partant, le recours doit être admis et la décision attaquée, annulée. La cause sera renvoyée à l'office pour instruction complémentaire au sens des considérants. Il n'y a pas lieu de se prononcer sur les pièces déposées par la recourante. 4. Au vu de l’admission du recours, la recourante a droit à des dépens. Sur la base de la liste de frais produite le 7 septembre 2018 par son mandataire et en application des art. 137 al. 1 et 3 du code cantonal fribourgeois du 23 mai 1991 de procédure et de juridiction administrative (CPJA; RSF 150.1), 8 al. 1 et 11 al. 2 du tarif du 17 décembre 1991 des frais de procédure et des indemnités en matière de juridiction administrative (Tarif/JA; RSF 150.12), les honoraires seront fixés sur la base d'un tarif horaire de CHF 250.-. Il se justifie ainsi de fixer l'équitable indemnité comme demandé à raison de 8h44 à CHF 250.-, soit CHF 2'183.25, plus CHF 231.60 de débours et CHF 192.85 au titre de la TVA (à 8% pour les opérations réalisées avant le 1er janvier 2018, à 7.7% ensuite), soit un total de CHF 2'607.70, indemnité intégralement mise à la charge de l'OAI. La requête d'assistance judicaire devient sans objet et sera rayée du rôle.</w:t>
      </w:r>
    </w:p>
    <w:p>
      <w:r>
        <w:t>Tribunal cantonal TC Page 10 de 10 la Cour arrête: I. Le recours (608 2017 218) est admis et la décision annulée. Partant, la cause est renvoyée à l'OAI pour instruction complémentaire au sens des considérants et nouvelle décision. II. La requête d'assistance judiciaire (608 2017 219), devenue sans objet, est rayée du rôle. III. L’équitable indemnité allouée à la recourante pour ses frais de défense est fixée à CHF 2'183.25 d'honoraires, plus CHF 231.60 de débours et CHF 192.85 au titre de la TVA à, respectivement, 8% et 7.7%, soit à un total de CHF 2'607.70, et mise intégralement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octobre 2018/djo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