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217 vom 25. Juli 2018</w:t>
      </w:r>
    </w:p>
    <w:p>
      <w:r>
        <w:t>FR Kantonsgericht, 2018-07-25, FR</w:t>
      </w:r>
    </w:p>
    <w:p>
      <w:r>
        <w:rPr>
          <w:b/>
        </w:rPr>
        <w:t xml:space="preserve">Quelle: </w:t>
      </w:r>
      <w:r>
        <w:t>https://mcp.opencaselaw.ch/entscheid/fr_gerichte_608_2017_217</w:t>
      </w:r>
    </w:p>
    <w:p>
      <w:r>
        <w:t>FR: FR_GERICHTE 608 2017 217 du 25 juillet 2018</w:t>
      </w:r>
    </w:p>
    <w:p>
      <w:r>
        <w:t>IT: FR_GERICHTE 608 2017 217 del 25 luglio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 sous réserve des conclusions sur le fond du litige, lesquelles sont irrecevables dans un recours portant sur un refus d'entrer en matière.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(let. c).</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w:t>
      </w:r>
    </w:p>
    <w:p>
      <w:r>
        <w:t>Tribunal cantonal TC Page 4 de 7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2.3</w:t>
      </w:r>
    </w:p>
    <w:p>
      <w:r>
        <w:t>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w:t>
      </w:r>
    </w:p>
    <w:p>
      <w:r>
        <w:t>Tribunal cantonal TC Page 5 de 7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en application par analogie des principes découlant de l'art. 17 LPGA – la dernière décision entrée en force qui repose sur un examen matériel du droit à la rente avec une constatation des faits pertinents, une appréciation des preuves et une comparaison des revenus conforme au droit (ATF 130 V 71 consid. 3.2.3).</w:t>
      </w:r>
    </w:p>
    <w:p>
      <w:r>
        <w:rPr>
          <w:b/>
        </w:rPr>
        <w:t>E. 3</w:t>
      </w:r>
    </w:p>
    <w:p>
      <w:r>
        <w:t>Est en l'espèce litigieuse la question de savoir si la recourante a établi de manière plausible une éventuelle modification de son état de santé susceptible d'influencer ses droits.</w:t>
      </w:r>
    </w:p>
    <w:p>
      <w:r>
        <w:rPr>
          <w:b/>
        </w:rPr>
        <w:t>E. 3.1</w:t>
      </w:r>
    </w:p>
    <w:p>
      <w:r>
        <w:t>La dernière décision entrée en force reposant sur un examen matériel du droit à la rente est la décision de refus du 3 février 2016, qui n'a pas été contestée par l'assurée. A ce moment-là, le Dr B.________, spécialiste en chirurgie orthopédique et traumatologie de l'appareil locomoteur, diagnostiquait un status post-réparation de la coiffe des rotateurs à l'épaule droite le 24 septembre 2013 et un abcès sterno-cléidomastoïdien post-chirurgical ayant nécessité un débridement. Il retenait comme symptômes des douleurs de type mécanique, aussi nocturnes, qui survenaient en particulier lors de ports de charges. Quant aux limitations fonctionnelles, elles étaient notamment les suivantes: pas de port de charges supérieur à 1 kg et pas de port de charges en porte-à-faux, pas de travail en hauteur ou sur une échelle, pas d'horaire irrégulier, de nuit ou le matin, ne pas rester assis, debout ou dans la même position pendant plus de 4 heures par jour, ne pas utiliser le bras droit, pas de travail à genoux ou en position accroupie. Par ailleurs, l'exigibilité a évolué: l'assurée pouvait travailler dans son activité de serveuse avec une diminution de rendement de 70%, ou à un taux de 40%, ou 4 heures par jour, ou encore ne pouvait plus exercer cette profession. Une activité adaptée était quand à elle exigible à plein temps, sauf en août 2014 lorsqu'elle était exigible avec un rendement réduit de 60% (rapports du 30 octobre 2013, dossier OAI p. 61, du 24 janvier 2014, dossier OAI p. 44, du 27 août 2014, dossier OAI p. 111, du 9 juillet 2014, p. 164, du 25 novembre 2014, dossier OAI p. 133, et du 9 mars 2015, dossier OAI p. 181). Dans son rapport du 17 juillet 2015, le Dr C.________, spécialiste en psychiatrie et psychothérapie, ne posait qu'un diagnostic sans influence sur la capacité de travail, à savoir des troubles de l'adaptation avec prédominance de la perturbation d'autres émotions (F43.23). Il notait une tristesse et une colère en lien avec le licenciement, ainsi qu'une anxiété face à l'avenir. Enfin, il attestait une pleine capacité de travail du point de vue psychiatrique (dossier OAI p. 196). Le Dr D.________, spécialiste en anesthésiologie et médecin du SMR, relevait que l'activité de serveuse ne respectait pas les limitations fonctionnelles liées à une pathologie de l'épaule. Il retenait comme limitations fonctionnelles notamment de ne pas avoir d'activité avec les bras au- dessus de l'horizontale, pas de port de charges supérieur à 5-8 kg près du corps avec le bras droit, et pas de travaux nécessitant un effort de traction avec le membre supérieur droit (rapport du 9 septembre 2014, dossier OAI p. 118). Le 31 août 2015, il attestait d'une pleine exigibilité physique et psychique dans une activité adaptée (dossier OAI p. 205).</w:t>
      </w:r>
    </w:p>
    <w:p>
      <w:r>
        <w:t>Tribunal cantonal TC Page 6 de 7</w:t>
      </w:r>
    </w:p>
    <w:p>
      <w:r>
        <w:rPr>
          <w:b/>
        </w:rPr>
        <w:t>E. 3.2</w:t>
      </w:r>
    </w:p>
    <w:p>
      <w:r>
        <w:t>La recourante a déposé une nouvelle demande le 13 mars 2017. Divers rapports médicaux établissant la situation médicale suivante ont été produits. Ces rapports émanent essentiellement du Dr B.________, lequel indique suivre la recourante depuis 2013 pour une rupture de la coiffe des rotateurs de l'épaule droite, et dont les suites de l'opération ont entraîné une infection et un abcès dans la région du muscle sterno-cléido- mastoïdien. L'assurée souffre de douleurs résiduelles en raison de lésions partielles de la coiffe des rotateurs empêchant une activité nécessitant un port de charges supérieur à 1 à 2 kg au- dessus du plan de l'épaule (rapports du 21 janvier 2016, dossier OAI p. 244, du 25 août 2017, dossier OAI p. 146). Depuis août 2016, il atteste également d'un conflit sous-acromial et de déchirures du muscle sus-épineux et du muscle sub-scapulaire à l'épaule gauche. Ces troubles entraînent une incapacité de travail de 40% (rapports du 23 août 2016, dossier OAI p. 261, du 14 novembre 2016, dossier OAI p. 272, du 21 décembre 2016, dossier OAI p. 278 et du 25 août 2017). Le Dr B.________ précise le 25 août 2017 qu'une reprise d'une activité à 100% est tout à fait illusoire. Il relève enfin qu'une sursollicitation du bras gauche aboutira à court ou moyen terme à une probable intervention chirurgicale telle que la première (rapports du 21 décembre 2016 et du 25 août 2017). Le Dr D.________, médecin du SMR, estime le 27 avril 2017 que la lésion de la coiffe des rotateurs de l'épaule gauche ne modifie pas les limitations fonctionnelles déjà retenues pour l'épaule droite, ni le profil des activités adaptées possibles. Il explique l'incapacité de travail de 40% attestée par le Dr B.________ par le fait que l'activité habituelle d'employée de restaurant n'est pas adaptée (dossier OAI p. 299). La recourante a encore produit trois rapports médicaux datés du 27 septembre 2017, 26 avril 2018 et 9 mai 2018. Ils n'ont toutefois pas à être examinés ici dans la mesure où l'Instance ne doit prendre en compte que ceux en possession de l'OAI lorsqu'il a statué (ATF 130 V 64 consid. 5.2.5; arrêt TF 9C_265/2017, consid. 5.2).</w:t>
      </w:r>
    </w:p>
    <w:p>
      <w:r>
        <w:rPr>
          <w:b/>
        </w:rPr>
        <w:t>E. 3.3</w:t>
      </w:r>
    </w:p>
    <w:p>
      <w:r>
        <w:t>Il ressort de ce qui précède que la recourante souffre dorénavant, en plus des problèmes à l'épaule droite, restés identiques, de troubles à l'épaule gauche, à savoir un conflit sous-acromial et des déchirures des muscles sus-épineux et sub-scapulaire. Ces nouvelles atteintes n'entrainent toutefois pas d'autres limitations que celles déjà mentionnées précédemment par le Dr B.________ lui-même pour l'épaule droite, à savoir éviter le port de charges de plus de 1 à 2 kg au-dessus du plan de l'épaule et les mouvements en traction. Par ailleurs, le Dr B.________ atteste désormais d'une incapacité de travail de 40% sans que l'on sache si elle existe dans l'activité habituelle, dans une activité adaptée ou dans les deux, de sorte que ses rapports ne sont pas probants sur cette question. Le fait que l'assurée devra probablement subir le même genre d'intervention chirurgicale pour son épaule gauche que pour l'épaule droite n'est ensuite pas déterminant déjà du seul fait qu'une telle opération n'est pas certaine, seule la situation médicale au moment de la décision de refus d'entrer en matière étant décisive. Enfin, les limitations fonctionnelles étant toujours les mêmes, on ne voit pas pourquoi les activités adaptées correspondant à son état de santé ne seraient plus exigibles. Aucune atteinte n'existe par ailleurs du point de vue psychiatrique. En effet, seul le Dr B.________ fait mention dans son rapport du 21 janvier 2016 du fait que l'assurée était suivie du point de vue psychologique, cela uniquement en lien avec les complications ayant suivi l'opération de 2013 et sans en parler dans ses rapports ultérieurs. La recourante elle-même n'en fait pas mention dans sa demande du 13 mars 2017, seuls les troubles physiques y figurant. De ce fait, en l'absence de</w:t>
      </w:r>
    </w:p>
    <w:p>
      <w:r>
        <w:t>Tribunal cantonal TC Page 7 de 7 tout rapport médical émanant d'un spécialiste en psychiatrie et du fait que les troubles psychiatriques qui existaient avant la décision du 3 février 2016 avaient été considérés comme n'étant pas invalidants, il y a lieu de considérer qu'aucune aggravation n'est intervenue sur le plan psychiatrique. Ainsi, force est de constater que l'assurée n'a pas rendu plausible que son état de santé s'était modifié de manière à influencer sa capacité de travail depuis le refus initial de rente du 3 février 2016. Partant, c'est à juste titre que l'autorité intimée s'est refusée à entrer en matière sur la nouvelle demande présentée par l'assurée.</w:t>
      </w:r>
    </w:p>
    <w:p>
      <w:r>
        <w:rPr>
          <w:b/>
        </w:rPr>
        <w:t>E. 4</w:t>
      </w:r>
    </w:p>
    <w:p>
      <w:r>
        <w:t>Au vu de ce qui précède, le recours doit être rejeté et la décision attaquée confirmée. La procédure n'étant pas gratuite, les frais de justice sont fixés à CHF 400.- et sont mis à la charge de la recourante qui succombe. Ils sont toutefois compensés avec l'avance de frais versée le 25 septembre 2017. Succombant, la recourante n'a pas droit à des dépens. la Cour arrête: I. Le recours est rejeté, dans la mesure de sa recevabilité. II. Les frais de justice, fixés à CHF 400.-, sont mis à la charge de A.________. Ils sont compensés par l'avance de frais versée le 25 septembre 2017.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juillet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