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216 vom 7. März 2018</w:t>
      </w:r>
    </w:p>
    <w:p>
      <w:r>
        <w:t>FR Kantonsgericht, 2018-03-07, FR</w:t>
      </w:r>
    </w:p>
    <w:p>
      <w:r>
        <w:rPr>
          <w:b/>
        </w:rPr>
        <w:t xml:space="preserve">Quelle: </w:t>
      </w:r>
      <w:r>
        <w:t>https://mcp.opencaselaw.ch/entscheid/fr_gerichte_608_2017_216</w:t>
      </w:r>
    </w:p>
    <w:p>
      <w:r>
        <w:t>FR: FR_GERICHTE 608 2017 216 du 7 mars 2018</w:t>
      </w:r>
    </w:p>
    <w:p>
      <w:r>
        <w:t>IT: FR_GERICHTE 608 2017 216 del 7 marzo 2018</w:t>
      </w:r>
    </w:p>
    <w:p>
      <w:pPr>
        <w:pStyle w:val="Heading2"/>
      </w:pPr>
      <w:r>
        <w:t>Regeste</w:t>
      </w:r>
    </w:p>
    <w:p>
      <w:r>
        <w:t>Arrêt de la IIe Cour des assurances sociales du Tribunal cantonal | Invalidenversicherung</w:t>
      </w:r>
    </w:p>
    <w:p>
      <w:pPr>
        <w:pStyle w:val="Heading2"/>
      </w:pPr>
      <w:r>
        <w:t>Erwägungen</w:t>
      </w:r>
    </w:p>
    <w:p>
      <w:r>
        <w:rPr>
          <w:b/>
        </w:rPr>
        <w:t>E. 26</w:t>
      </w:r>
    </w:p>
    <w:p>
      <w:r>
        <w:t>août 2014 refusé l'octroi de mesures de réadaptation. Par décision du 18 novembre 2014, confirmant un projet du 6 octobre 2014, il a rejeté la demande de rente, estimant que l'assuré ne souffrait d'aucune maladie invalidante. Cette décision n'a pas été contestée. Entretemps, du 12 novembre au 10 décembre 2014, l'assuré a travaillé en tant qu'employé d'exploitation à temps plein auprès de D.________ SA. Les activités exercées depuis lors auprès de divers employeurs ont été régulièrement interrompues. B. Le 14 décembre 2014, en état d'ébriété marqué, l'assuré a été victime d'une chute qui a eu notamment pour conséquence un traumatisme cranio-cervical (TCC) et une fracture au niveau du sinus droit. Le 24 mars 2015, il a déposé une nouvelle demande de prestations devant l'OAI, en raison notamment d'un trouble du déficit de l'attention avec ou sans hyperactivité (TDAH), d'un trouble anxieux généralisé (TAG) ainsi que d'un traumatisme crânien de niveau 2 ayant mené à une aggravation de son état général. Dans ce cadre, l'assuré a bénéficié de séances de "job coaching" et de "coaching individuel". Avis pris auprès de son SMR, par décision du 16 août 2017, reprenant un projet du 28 avril 2017, l'OAI a derechef rejeté la demande de rente, considérant que la situation n'avait pas changé de manière durable depuis sa dernière décision. C. Contre cette décision, l'assuré, représenté par CAP Compagnie d'Assurance de Protection Juridique SA, interjette recours devant le Tribunal cantonal le 15 septembre 2017 concluant, avec suite de frais et dépens, préalablement, à la mise sur pied d'une expertise judiciaire pluridisciplinaire, principalement, à l'octroi d'une rente d'invalidité depuis le 25 mars 2015 et, subsidiairement, au renvoi de la cause à l'autorité intimée pour mesure d'instruction complémentaire. A l'appui de son recours, il se plaint du fait que l'OAI se soit uniquement basé sur les rapports présents au dossier et un rapport sur dossier du SMR, sans diligenter de mesure d'instruction telle qu'un examen par un médecin SMR ou un expert. A cet égard, il soutient avoir maintes fois expliqué que son état de santé psychique l'empêchait de travailler à temps plein, incapacité reconnue par l'assurance-chômage qui l'a déclaré inapte au placement. Il se prévaut également de l'avis de son psychiatre traitant, lequel affirme que son patient ne possède une capacité de travail résiduelle que de 50-60%. Enfin, il conteste la valeur probante de l'avis du médecin SMR.</w:t>
      </w:r>
    </w:p>
    <w:p>
      <w:r>
        <w:t>Tribunal cantonal TC Page 3 de 11 Le 28 septembre 2017, l'assuré s'est acquitté de l'avance de frais de CHF 800.- requise. Dans ses observations du 24 octobre 2017, l'OAI propose le rejet du recours. A l'appui de sa position, il relève que le dossier de l'assuré comporte une multitude de pièces médicales et permet de se faire une idée précise de son état de santé et de ses limitations. Fondé sur un dossier complet, il estime que l'avis du médecin SMR est probant et peut être suivi. Enfin, il conteste la pertinence des rapports émis par le psychiatre traitant. Il n’a pas été procédé à un autre échange d’écritures. Autant qu’utiles à la solution du litige, il sera fait état des arguments développés par les parties à l’appui de leurs conclusions respectives dans les considérants en droit du présent arrêt. en droit 1. 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qu'elle soit, cas échéant, annulée ou modifiée. 2. a)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selon le taux d'invalidité (al. 2).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d'une atteinte à la santé psychique, de troubles somatoformes douloureux persistants ou de fibromyalgie, suppose également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w:t>
      </w:r>
    </w:p>
    <w:p>
      <w:r>
        <w:t>Tribunal cantonal TC Page 4 de 11 d'ordre psychique (cf. arrêt TF 8C_841/2016 du 30 novembre 2017),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Par contre,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c) Selon l'art. 17 LPGA, si le taux d'invalidité du bénéficiaire de la rente subit une modification notable, la rente est, d'office ou sur demande, révisée pour l'avenir, à savoir augmentée ou réduite en conséquence, ou encore supprimée.</w:t>
      </w:r>
    </w:p>
    <w:p>
      <w:r>
        <w:t>Tribunal cantonal TC Page 5 de 11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Lorsque l'administration entre en matière sur une nouvelle demande, elle doit examiner l'affaire au fond, et vérifier que la modification du degré d'invalidité rendue plausible par l'assuré est réellement intervenue. Il y a lieu d’appliquer par analogie les conditions de la révision du droit à la rente selon l’art. 17 LPGA (ATF 130 V 64 consid. 2; arrêts TF I 329/05 du 10 février 2006 consid. 1.1 et I 152/01 du 11 septembre 2001 consid. 1b; VSI 1999 84 consid. 1b).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respectivement lorsqu'elle a été revue,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 3. Pour pouvoir décider,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a)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w:t>
      </w:r>
    </w:p>
    <w:p>
      <w:r>
        <w:t>Tribunal cantonal TC Page 6 de 11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w:t>
      </w:r>
    </w:p>
    <w:p>
      <w:r>
        <w:rPr>
          <w:b/>
        </w:rPr>
        <w:t>E. 29</w:t>
      </w:r>
    </w:p>
    <w:p>
      <w:r>
        <w:t>janvier 2008). b)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c) 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w:t>
      </w:r>
    </w:p>
    <w:p>
      <w:r>
        <w:t>Tribunal cantonal TC Page 7 de 11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4. En l’espèce, le litige porte sur la question de savoir si l'état de santé du recourant s'est aggravé au point de justifier l'octroi de prestations AI, respectivement si la mise sur pied d’une expertise est nécessaire. Le point de départ temporel pour résoudre cette question correspond à la dernière décision qui repose sur un examen matériel du droit à la rente, avec une constatation des faits pertinents, une appréciation des preuves et une comparaison des revenus conformes au droit. Il s'agit ici de la décision du 18 novembre 2014. L'office avait alors retenu que l'assuré ne souffrait d'aucune maladie invalidante (dossier OAI, p. 134) en se fondant essentiellement sur un rapport du Dr E.________, spécialiste FMH en anesthésiologie, du SMR. Le médecin y relevait que les affections psychiatriques attestées étaient présentes depuis l'enfance mais n'avaient pas empêché l'assuré de faire une scolarité normale, d'obtenir un CFC d'informaticien et de travailler dans ce domaine. En l'absence de péjoration de l'état de santé, le médecin ne voyait pas quelles étaient les raisons médicales pour une incapacité durable de travailler, soulignant que les problèmes de motivation ne pouvaient pas être assimilés à une maladie (rapport du 11 juin 2014, dossier OAI, p. 125). A ce stade, il n'est pas sans intérêt de rappeler qu'à la même époque, le psychiatre traitant du recourant, le Dr F.________, spécialiste FMH en psychiatrie et psychothérapie, diagnostiquait un "trouble anxieux dépressif mixte […] F41.3 existant au moins depuis le début de l'école primaire", un "TOC [trouble obsessionnel compulsif] actuellement à prédominance obsessionnelle F42.0 (apparu avant l'école primaire)" et un "TDAH en cours de réévaluation (diagnostiqué […] en 2007)". En raison de ces diagnostics, il attestait d'une capacité de travail de 50% dans un "travail non stressant, progressif [et] basé sur ses intérêts" (rapport du 2 juin 2014, dossier OAI, p. 117). 5. Il convient d'examiner si l'état de santé de l'assuré s'est, comme il le prétend dans sa nouvelle demande du 24 mars 2015, péjoré depuis lors. a) Dans sa décision du 16 août 2017, l'OAI considère qu'aucun élément médical au dossier n'apporte une modification durable des précédentes constatations et que la capacité de gain du recourant demeure entière dans son activité d'informaticien (dossier OAI, p. 463). A nouveau, l'OAI se fonde sur un rapport du Dr E.________, lequel soutient que la symptomatologie s'est clairement et objectivement améliorée depuis la dernière décision, que l'anxiété médicalement attestée est présente depuis l'enfance mais qu'elle n'a pas empêché l'assuré de terminer sa scolarité en section pré-gymnasiale et d'obtenir un CFC et que l'activité d'informaticien est entièrement exigible. Il soutient que le recourant souhaite changer d'activité par convenance personnelle, ce qui n'a pas valeur d'atteinte à la santé au sens de l'assurance- invalidité (rapports des 13 avril et 4 juillet 2017, dossier OAI, p. 404 et 461).</w:t>
      </w:r>
    </w:p>
    <w:p>
      <w:r>
        <w:t>Tribunal cantonal TC Page 8 de 11 Il convient d'emblée de tenir compte du fait que le Dr E.________ est spécialiste en anesthésiologie. Un avis médical sur une problématique d'ordre psychiatrique émis par un non spécialiste doit être appréhendé avec prudence, ainsi que la Cour l'a rappelé à plusieurs reprises tant à l'égard des médecins du SMR (cf. not. arrêts TC 608 2016 261 du 31 juillet 2017 consid. 5c, 608 2016 120 du 9 juin 2017 consid. 3b/bb) que des généralistes traitants (cf. not. arrêts TC 608 2016 108 du 11 avril 2017 consid. 5b/aa). On ne saurait en effet oublier que, de jurisprudence constante, l'existence – et par conséquence l'absence – d'une atteinte à la santé psychique suppose un diagnostic émanant d'un psychiatre. Au demeurant, le rapport d'un médecin SMR qui, comme en l'espèce, ne se fonde pas sur un examen clinique ne peut avoir pour objet que d’indiquer quelle opinion médicale il convient de suivre ou de proposer des investigations complémentaires. Cela est d'autant plus le cas lorsque ledit médecin n'est pas spécialiste dans la problématique examinée. Dans ces circonstances, pour être retenues, les affirmations du médecin du SMR doivent être confirmées par les autres pièces du dossier. b) Dans le cadre du diagnostic différentiel, la Dresse G.________, spécialiste FMH en psychiatrie et psychothérapie, privilégie le diagnostic d'"anxiété généralisée" présent "depuis l'enfance" à celui de "trouble de la personnalité évitante" qui se serait révélé depuis le "début de l'âge adulte". Quel que soit le diagnostic retenu, elle souligne que l'atteinte a pour effet que son patient souffre des limitations suivantes: "anxiété et soucis excessifs" difficiles à contrôler, lesquels sont associés à "une agitation, une fatigabilité, des difficultés de concentration" et entraînent "une souffrance cliniquement significative". L'assuré lui ayant été adressé uniquement dans la perspective d'examiner les possibilités de prise en charge thérapeutique, la doctoresse ne quantifie cependant pas la capacité de travail du recourant. Au contraire, alors même qu'elle est expressément interrogée par l'autorité intimée sur ce point, elle refuse de se prononcer précisant que "cela dépendra de la réponse du patient au traitement" (rapport du 30 mars 2016 et du 10 novembre 2016, dossier OAI, p. 366 et 387). Si la psychiatre ne tranche pas la question de la capacité de travail, force est de constater qu'elle atteste de la présence de troubles depuis l'enfance, respectivement le début de l'âge adulte. Elle relève en outre que "le patient présentait une anxiété et des soucis excessifs […] depuis plusieurs années" et que les "symptômes [lui] semblent à mettre en lien avec le vécu subjectif". A aucun moment – à l'exception de ceux où elle fait référence aux dires du patient – elle ne soutient que ces troubles auraient évolué, en particulier en relation avec les événements du 14 décembre 2014. La Dresse G.________ atteste donc de la présence d'atteintes à la santé invalidantes. Mais elle souligne également que ces atteintes sont anciennes et antérieures à la décision initiale de refus du 18 novembre 2014. Ainsi, si la psychiatre ne partage pas l'avis du Dr E.________ s'agissant de l'impact des troubles sur la santé du recourant, elle le rejoint par contre lorsqu'il soutient que l'état de santé ne s'est pas notablement modifié depuis 2014. Cela ne rend pas vraisemblable l'existence d'une modification notable de la capacité de gain au sens d'une révision du droit à la rente. c) Il convient encore de souligner que, dans ses différents rapports médicaux, le Dr F.________ adopte une approche pleine de contradictions qui se retrouvent tant dans la démarche d'observation clinique que dans les conclusions.</w:t>
      </w:r>
    </w:p>
    <w:p>
      <w:r>
        <w:t>Tribunal cantonal TC Page 9 de 11 Ainsi, dans un premier temps, retenant toujours des diagnostics de "trouble anxieux dépressif mixte" de "TOC à prédominance obsessionnelle" et de "TDAH" ainsi que celui de "modification d'attitude suite à un traumatisme crânien", le médecin atteste d'une situation améliorée et ne donne pas de contre-indication à la poursuite de l'activité d'informaticien, à l'exception d'une réserve quant à la capacité de résistance, la solidité de l'amélioration devant être confirmée (rapport du 10 avril 2015, dossier OAI, p. 160). Quatre mois plus tard, sans pour autant motiver les raisons de ce revirement, le psychiatre atteste d'un état de santé tout autre et soutient que son patient n'est plus en mesure de travailler, émettant même des réserves sur l'exercice futur d'une activité adaptée dont la nature "reste à définir" (rapport du 6 juillet 2015, dossier OAI, p. 274). Par la suite, constatant que son patient exerçait une activité, il a précisé que celle-ci n'était réalisable qu'avec la prise régulière et à contrecœur de benzodiazépine, en plus de son traitement continu de prégabaline et d'escitalopram. Mais, en même temps, il pense que son patient est tout à fait en mesure de faire une nouvelle formation, voire même d'obtenir un "gain accessoire, comme le font beaucoup d'étudiants" (rapports des 31 décembre 2015, 5 août 2016 et 14 juin 2017, dossier OAI, p. 361, 363 et 430). Par ailleurs, le médecin atteste, pour la même période, de deux états de santé fondamentalement différents. Ainsi, alors que, dans ses rapports d'avril 2015, il affirmait que son patient allait mieux, il précise ensuite qu'"il semble être revenu à une sorte de phobie de tout ressenti physique" depuis décembre 2014 (dossier OAI, comparer p. 160 à la p. 363). Enfin, au moment même où le psychiatre attestait d'une incapacité de travail totale, le recourant était en mesure de suivre des séances de coaching dans le cadre d'une "mesure d'Outplacement", d'effectuer des stages, notamment auprès d'une institution sociale, et de postuler auprès de diverses écoles et employeurs potentiels (dossier OAI, comparer p. 361 aux p. 298 et 316). Il y a donc une discrépance claire entre les dires du médecin et les actes de son patient. Ces nombreuses critiques qu'on peut porter à l'égard de l'avis du Dr F.________ – toutes n'ayant par ailleurs pas été expressément relevées par la Cour – justifient que ses conclusions soient écartées. d) Quant au Dr H.________, spécialiste FMH en médecine interne générale, celui-ci fait état des diagnostics de "troubles anxieux chroniques, TOC, troubles de l'attention existant depuis plusieurs années en constante aggravation" et de "TCC avec fracture [au sinus] avec réactivation post traumatique du syndrome anxieux et TOC", faisant en cela référence aux conclusions du Dr I.________, spécialiste FMH en neurologie, qu'il a consulté pour avis. Sur le plan de la capacité de travail, le généraliste estime qu'il "est difficile de dire encore actuellement à quel pourcentage le patient pourrait travailler. Si l'adaptation au lieu de travail permet de lui éviter le plus possible l'anxiété, le travail pourrait être à temps complet". Il atteste d'une capacité de travail entière depuis le 11 janvier 2015, soit près de huit mois avant la rédaction de son rapport (rapport du 2 septembre 2015, dossier OAI, p. 284; cf. ég p. 288). Ainsi qu'il a été relevé s'agissant du médecin SMR (consid. 5a ci-avant), il convient de tenir compte du fait que le médecin traitant est généraliste et que l'examen de problématiques d'ordre psychique sort, dès lors, de son champ de spécialisation. Cela étant, il fait – notamment s'agissant du pronostic et du traitement – une référence expresse au Dr F.________ dont les conclusions sont, on l'a vu, sujettes à caution. En outre, le médecin n'étaye ses conclusions que de manière sommaire, en particulier s'agissant de la problématique</w:t>
      </w:r>
    </w:p>
    <w:p>
      <w:r>
        <w:t>Tribunal cantonal TC Page 10 de 11 de l'évolution des troubles ainsi que de leur influence sur la capacité de travail de son patient. Enfin, en tant que médecin traitant du recourant, on ne peut pas exclure que son avis, soit, à tout le moins partiellement, influencé par le lien thérapeutique qui l'unit à son patient et pourrait le pousser à prendre parti pour lui (cf. ATF 125 V 351 consid. 3b/cc et les références citées). Partant, la Cour ne s'estime pas liée par les conclusions du médecin généraliste. e) Enfin, J.________, neuropsychologue au sein de K.________, retient des diagnostics de "difficultés modérées de mémoire et discrètes difficultés attentionnelle" présentes depuis avril 2015, un "TDAH – troubles anxieux généralisés" et un "TCC récent (14.12.2014)". Précisant qu'il ne lui est pas possible de faire la part de ce qui est dû aux différents diagnostics, elle relève l'existence de difficultés au niveau des capacités d'attention, d'anxiété et de résistance, lesquelles seraient compatibles avec les troubles anxieux. Elle n'examine toutefois pas la problématique de la capacité de travail (dossier OAI, p. 264, 269). Dans ces circonstances, indépendamment du fait que son rédacteur n'est pas médecin, cet avis ne saurait permettre de trancher la question de la présence ou de l'absence d'une péjoration de l'état de santé. 6. Au vu de l'ensemble de ce qui précède, s'appuyant sur l'avis de la Dresse G.________, la Cour constate que l'état de santé du recourant ne s'est pas aggravé depuis la dernière décision lui refusant une rente. Au demeurant il est probable que l'inaptitude au travail retenu par l'assurance-chômage et dont se prévaut le recourant soit, de manière non négligeable, liée à sa conviction d'être invalide, aggravée par l'environnement familial qualifié de "très protecteur et entourant" voire de "générateur d'anxiété" (cf. not. dossier OAI, p. 99, 117, 160, 204, 254, 288, 311 et 366). Dans ces circonstances, on ne peut exclure que son souhait de réorientation professionnelle soit plus lié à une envie de quitter un emploi qu'il estime insuffisamment stimulant (cf. dossier OAI, p. 298) – ce que le médecin du SMR traduit par "convenance personnelle" (dossier OAI, p. 461) – qu'à une inaptitude d'ordre psychiatrique. A cet égard, on constate que l'assuré a été en mesure – en dépit des dires de sa mère, lesquels relèvent plus de l'assertion que de la preuve – de terminer sa scolarité secondaire en section prégymnasiale, de réussir un CFC d'informaticien et d'obtenir d'excellents résultats scolaires dans la maturité commencée en septembre 2016. Les facteurs extra-médicaux ne sont pas des motifs justifiant de reconnaître une diminution de la capacité de travail exigible au sens de l'assurance-invalidité. En l'absence de modification manifeste de la capacité de gain, les conditions de la révision ne sont pas remplies et c'est à juste titre que l'OAI a refusé d'octroyer une rente au recourant. En l'état du dossier, la cause a fait l'objet d'une instruction suffisante et les requêtes de preuve faites par le recourant – notamment son audition et la mise sur pied d'une expertise – doivent être rejetées. 7. Le recours, mal fondé, doit être rejeté et la décision querellée confirmée. La procédure n'étant pas gratuite, les frais de justice, fixés à CHF 800.-, sont mis à la charge du recourant. Ils sont compensés avec l'avance de CHF 800.- effectuée. Compte tenu de l'issue du recours, il n'est pas octroyé de dépens.</w:t>
      </w:r>
    </w:p>
    <w:p>
      <w:r>
        <w:t>Tribunal cantonal TC Page 11 de 11 la Cour arrête: I. Le recours est rejeté. II. Les frais de justice, fixés à CHF 800.-, sont mis à la charge du recourant; ils sont compensés avec l'avance de CHF 800.- effectuée.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mars 2018/pte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