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194 vom 15. März 2018</w:t>
      </w:r>
    </w:p>
    <w:p>
      <w:r>
        <w:t>FR Kantonsgericht, 2018-03-15, DE</w:t>
      </w:r>
    </w:p>
    <w:p>
      <w:r>
        <w:rPr>
          <w:b/>
        </w:rPr>
        <w:t xml:space="preserve">Quelle: </w:t>
      </w:r>
      <w:r>
        <w:t>https://mcp.opencaselaw.ch/entscheid/fr_gerichte_608_2017_194</w:t>
      </w:r>
    </w:p>
    <w:p>
      <w:r>
        <w:t>FR: FR_GERICHTE 608 2017 194 du 15 mars 2018</w:t>
      </w:r>
    </w:p>
    <w:p>
      <w:r>
        <w:t>IT: FR_GERICHTE 608 2017 194 del 15 marzo 2018</w:t>
      </w:r>
    </w:p>
    <w:p>
      <w:pPr>
        <w:pStyle w:val="Heading2"/>
      </w:pPr>
      <w:r>
        <w:t>Regeste</w:t>
      </w:r>
    </w:p>
    <w:p>
      <w:r>
        <w:t>Urteil des II. Sozialversicherungsgerichtshofes des Kantonsgerichts | Invalidenversicherung</w:t>
      </w:r>
    </w:p>
    <w:p>
      <w:pPr>
        <w:pStyle w:val="Heading2"/>
      </w:pPr>
      <w:r>
        <w:t>Erwägungen</w:t>
      </w:r>
    </w:p>
    <w:p>
      <w:r>
        <w:rPr>
          <w:b/>
        </w:rPr>
        <w:t>E. 1</w:t>
      </w:r>
    </w:p>
    <w:p>
      <w:r>
        <w:t>a) Die Beschwerden vom 25. August 2017 gegen die Verfügung vom 28. Juni 2017 sind durch die Beschwerdeführer frist- und formgerecht bei der sachlich und örtlich zuständigen Be- schwerdeinstanz eingereicht worden. Der Beschwerdeführer (B.________) hat als Rentenbezüger ohne weiteres ein schutzwürdiges Interesse daran, dass das Kantonsgericht, II. So- zialversicherungsgerichtshof, prüft, ob er über den 1. Juli 2016 hinaus Anspruch auf eine Kinder- rente für seinen Sohn C.________ hat. Auf seine Beschwerde ist einzutreten. b) Da der Beschwerdeführer (B.________) als Bezüger der streitigen Kinderrente offensichtlich beschwerdeberechtigt ist, kann die Frage offen gelassen werden, ob die Beschwer- deführerin (A.________) ebenfalls legitimiert ist, Beschwerde zu führen.</w:t>
      </w:r>
    </w:p>
    <w:p>
      <w:r>
        <w:rPr>
          <w:b/>
        </w:rPr>
        <w:t>E. 2</w:t>
      </w:r>
    </w:p>
    <w:p>
      <w:r>
        <w:t>Als Vorbemerkung ist festzustellen, dass die angefochtene Verfügung vom 28. Juni 2017 wiederum nicht rechtmässig eröffnet wurde, da sie an A.________ adressiert war und nicht an den rentenberechtigten B.________. Dies obschon das Kantonsgericht die letzte Verfügung vom</w:t>
      </w:r>
    </w:p>
    <w:p>
      <w:r>
        <w:rPr>
          <w:b/>
        </w:rPr>
        <w:t>E. 4</w:t>
      </w:r>
    </w:p>
    <w:p>
      <w:r>
        <w:t>a) Vorliegend ist unbestritten, dass C.________ seit September 2016 an der IDEC, École supérieure d’informatique, eingeschrieben ist und dass es sich hierbei um einen ordnungs- gemässen, rechtlich anerkannten Bildungsgang handelt, der ihn auf einen Berufsabschluss (Infor- matiker EFA) vorbereitet. Die Ausbildung dauert bis April 2019. Die Kurse an der IDEC finden dreimal wöchentlich von 18h30 bis 21h15 statt (Bescheinigung der IDEC vom 9. Februar 2017). Weiter bestätigt die IDEC in einem Schreiben vom 23. August 2016 Folgendes: „Nous recommandons généralement de prévoir chaque semaine une durée de travail personnel équivalente au nombre d’heures de cours. Cependant, dans le cas d’un étudiant sans expérience professionnelle et dont le français n’est pas la langue maternelle, il serait plus raisonnable de prévoir plutôt une quinzaine d’heures hebdomadaires.“ Damit ist festzustellen, dass bei fehlender Berufserfahrung und deutscher Muttersprache ein Ge- samtaufwand von durchschnittlich insgesamt 23,25 Wochenstunden erforderlich ist (Kurse: 8,25 Stunden; obligatorisches Selbststudium sowie Vor- und Nachbereitung der Kurse: 15h). Wenn die Vorinstanz gestützt auf das Schreiben der IDEC vom 23. August 2016 nur einen ausser- schulischen Aufwand von 8,25 Stunden berücksichtigen will, da der Gesetzgeber nicht vorsehe, dass individuelle Konstellationen, wie zum Beispiel die sprachlichen Fähigkeiten oder die Vorbil- dung, in Betracht gezogen werden dürfen, und nur die durchschnittlich aufzuwendende Zeit zu berücksichtigen sei (so die Stellungnahme der Ausgleichskasse vom 30. November 2017), so kann ihr nicht gefolgt werden. Es trifft zwar zu, dass der effektive Ausbildungsaufwand, der teilweise nur mittels Indizien eruiert werden kann, unter anderem aufgrund der Auskünfte des Ausbildungsan- bieters über die durchschnittlich aufzuwendende Zeit für die jeweilige Ausbildung zu bestimmen ist (vgl. RWL Ziff. 3360). Es wird aber nicht verlangt, dass sich der zu berücksichtigende ausserschu- lische Aufwand an jenen Ausbildenden orientiert, die dafür weniger Stunden aufwenden müssen als andere, mithin dass nur der minimale ausserschulische Aufwand anerkannt wird. Vielmehr ist auf Durchschnittswerte abzustellen, die – je nach Konstellation (Alter, Berufserfahrung, Branchen- kenntnisse, Erst-, Zweit- oder Zusatzausbildung, Sprachkenntnisse) – durchaus unterschiedlich ausfallen können. Schliesslich wird von dem sich in Ausbildung befindlichen Kind gefordert, dass es sich systematisch auf das angestrebte Bildungsziel vorbereitet, indem es die Ausbildung mit dem objektiv zumutbaren Einsatz betreibt, um sie innert nützlicher Frist abschliessen zu können (RWL Ziff. 3358). Wenn C.________ wöchentlich insgesamt 15 ausserschulische Stunden auf-</w:t>
      </w:r>
    </w:p>
    <w:p>
      <w:r>
        <w:t>Kantonsgericht KG Seite 6 von 7 wenden muss, um sein angestrebtes Bildungsziel (Informatiker EFA) innert nützlicher Frist ab- schliessen zu können, was gemäss Bestätigung der IDEC bei seinem Hintergrund (keine berufli- che Erfahrung; deutsche Muttersprache) einem durchschnittlichen Ausbildungsaufwand entspricht, sind ihm diese 15 ausserschulischen Stunden auch anzuerkennen. Anders würde es sich nur ver- halten, wenn C.________ über diese 15 Stunden hinaus einen zusätzlichen – individuellen – Aufwand geltend machen würde. Dies ist vorliegend aber nicht der Fall. Damit ist vorliegend ein Ausbildungsaufwand von mehr als 20 Wochenstunden ohne weiteres aus- gewiesen (Kurse: 8,25 Stunden; obligatorisches Selbststudium sowie Vor- und Nachbereitung der Kurse: 15h; insgesamt 23,25 Wochenstunden). b) Aus den vorliegenden Akten ist ersichtlich, dass C.________ nebst seiner Ausbildung an der IDEC weiteren Tätigkeiten nachgeht. So liess er sich von Februar bis Dezember 2016 am Interprofessionellen Weiterbildungszentrum zum Windows Techniker ausbilden und absolvierte ab Dezember 2016 zusätzlich einen Online-Kurs JavaScripts. Auch dieses Verhalten zeigt, dass sich C.________ zeitlich überwiegend seinem Ausbildungsziel widmet und sich systematisch auf sein Ausbildungsziel vorbereitet, um dieses innert nützlicher Frist mit Erfolg abzuschliessen. c) Zusammenfassend ist festzuhalten, dass die von C.________ absolvierte Ausbildung an der IDEC ohne Weiteres die Voraussetzungen an eine Ausbildung im Sinne von Art. 35 Abs. 1 IVG i.V.m. Art. 25 Abs. 5 AHVG erfüllt. B.________ hat deshalb über den 1. Juli 2016 hinaus Anspruch auf eine Kinderrente für seinen Sohn C.________. Entsprechend ist die vorliegende Beschwerde von B.________ gutzuheissen und die an- gefochtene Verfügung der Vorinstanz vom 28. Juni 2017 aufzuheben.</w:t>
      </w:r>
    </w:p>
    <w:p>
      <w:r>
        <w:rPr>
          <w:b/>
        </w:rPr>
        <w:t>E. 5</w:t>
      </w:r>
    </w:p>
    <w:p>
      <w:r>
        <w:t>Die Gerichtskosten sind auf CHF 400.- festzusetzen und der unterliegenden Vorinstanz auf- zuerlegen. A.________ und B.________ ist der geleisteten Kostenvorschuss von je CHF 400.- zurückzuerstatten. Es besteht kein Anspruch auf eine Parteientschädigung.</w:t>
      </w:r>
    </w:p>
    <w:p>
      <w:r>
        <w:t>Kantonsgericht KG Seite 7 von 7 Der Hof erkennt: I. Die Beschwerden werden gutgeheissen und die Verfügung der Invalidenversicherungsstelle Freiburg vom 28. Juni 2017 aufgehoben. II. Die Gerichtskosten von CHF 400.- gehen zu Lasten der Invalidenversicherungsstelle Frei- burg. A.________ und B.________ wird der geleistete Kostenvorschuss in der Höhe von je CHF 400.- zurückerstattet.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15. März 2018/dki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