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184 vom 15. Januar 2018</w:t>
      </w:r>
    </w:p>
    <w:p>
      <w:r>
        <w:t>FR Kantonsgericht, 2018-01-15, FR</w:t>
      </w:r>
    </w:p>
    <w:p>
      <w:r>
        <w:rPr>
          <w:b/>
        </w:rPr>
        <w:t xml:space="preserve">Quelle: </w:t>
      </w:r>
      <w:r>
        <w:t>https://mcp.opencaselaw.ch/entscheid/fr_gerichte_608_2017_184</w:t>
      </w:r>
    </w:p>
    <w:p>
      <w:r>
        <w:t>FR: FR_GERICHTE 608 2017 184 du 15 janvier 2018</w:t>
      </w:r>
    </w:p>
    <w:p>
      <w:r>
        <w:t>IT: FR_GERICHTE 608 2017 184 del 15 gennaio 2018</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Interjeté en temps utile et dans les formes légales auprès de l'autorité judiciaire compétente par un assuré directement touché par les décisions attaquées et dûment représenté, le recours est recevable.</w:t>
      </w:r>
    </w:p>
    <w:p>
      <w:r>
        <w:rPr>
          <w:b/>
        </w:rPr>
        <w:t>E. 2</w:t>
      </w:r>
    </w:p>
    <w:p>
      <w:r>
        <w:t>Le recourant conteste tout d'abord la décision du 14 juin 2017 concernant le choix du Dr C.________ pour réaliser une nouvelle expertise psychiatrique. a) Selon l'art. 43 de la loi du 6 octobre 2000 sur la partie générale du droit des assurances sociales (LPGA; RS 830.1), applicable par le biais de l'art. 1 al. 1 de la loi du 19 juin 1959 sur l'assurance-invalidité (LAI; RS 831.20), l'assureur examine les demandes, prend d'office les mesures d'instruction nécessaires et recueille les renseignements dont il a besoin. Les</w:t>
      </w:r>
    </w:p>
    <w:p>
      <w:r>
        <w:t>Tribunal cantonal TC Page 4 de 8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du règlement du 17 janvier 1961 sur l'assurance- 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TF 9C_180/2013 du 31 décembre 2013 consid. 2.2; ATF 132 V 93 consid. 7.1).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(arrêts TF 9C_180/2013 du 31 décembre 2013 consid. 2.2 et les références citées ainsi que 9C_552/2014 du 26 novembre 2014 consid. 2).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TF 9C_180/2013 du 31 décembre 2013 consid. 2.3; ATF 132 V 93 consid. 6.5). b) En l'espèce, le recourant reproche au Dr C.________ d'avoir maintenu l'expertise alors que l'interprète ne pouvait pas être présente et de s'être prononcé malgré l'existence de difficultés de compréhension. Il faut tout d'abord relever que de tels griefs ont déjà été analysés dans le cadre de la précédente procédure de recours et que la Cour de céans a considéré que ceux-ci étaient avérés, ce qui a</w:t>
      </w:r>
    </w:p>
    <w:p>
      <w:r>
        <w:t>Tribunal cantonal TC Page 5 de 8 justement abouti à l'admission du recours et au renvoi de la cause pour mise en œuvre d'une nouvelle expertise. En revanche, ces éléments ne constituent pas des motifs de récusation. En effet, même si l'expert n'aurait pas dû maintenir l'expertise en l'absence de l'interprète, un tel comportement ne donne pas l'apparence de la prévention ni ne fait redouter une activité partiale. Il n'en découle pas non plus qu'il ait pris position au sujet de certaines questions de manière telle qu'il ne semble plus exempt de préjugés. Par ailleurs, dans le cadre de la nouvelle expertise, les manquements relevés seront évités, puisqu'elle sera réalisée avec l'aide d'un ou d'une interprète. Ainsi, les éventuels malentendus dus à la langue seront écartés et l'expert pourra se prononcer en toute connaissance de cause. c) Le recourant allègue également que l'expert a eu des propos particulièrement dénigrants à son égard. A titre d'exemple, il cite le fait qu'il a dépeint un expertisé oisif et profiteur. Il conclut dès lors qu'au vu des termes péjoratifs exprimés et compte tenu de leur fréquence dans l'expertise, il ne fait aucun doute que l'expert ne semble pas neutre à son égard. Cependant, à la lecture du rapport d'expertise, on ne retrouve pas de tels propos. A aucun moment, l'expert n'a utilisé les termes "oisif" ou "profiteur". Il décrit certes comment le recourant passe ses journées, mais cela fait partie intégrante d'une expertise. D'ailleurs, le recourant n'allègue pas que la description ainsi faite serait erronée. Il ne met pas non plus en avant des éléments qui seraient faux ou des erreurs manifestes de l'expert. De plus, le fait de décrire la personnalité du recourant en mentionnant qu'il paraît "à la fois séducteur, parfois un peu flatteur, souvent méfiant" et qu'il "donne le sentiment de manquer de franchise car les renseignements donnés sont souvent flous et parfois contradictoires" ne peut pas être considéré comme dénigrant. En effet, tels qu'employés par l'expert, ces termes ne comportent aucune connotation subjective (dépréciative), mais visent à expliquer le comportement de l'assuré, ce qui fait également partie intégrante d'un rapport d'expertise. La Cour de céans estime qu'il n'y a aucun terme et aucun élément dans l'expertise pouvant donner l'apparence de la prévention et faire redouter une activité partiale de l'expert. Le grief du recourant est donc mal fondé et doit être rejeté. d) Enfin, le recourant demande que le rapport d'expertise du 1er septembre 2016 soit formellement exclu du dossier. Une telle requête ne se justifie toutefois pas. En effet, même si la Cour de céans a effectivement clairement dit que ce rapport d'expertise ne pouvait pas servir de base pour statuer sur le droit du recourant aux prestations de l'assurance-invalidité, cela n'implique pas sa destruction. Cette expertise a eu lieu et un rapport d'expertise a été rédigé. Il peut donc figurer au dossier. Dans le cadre de l'instruction d'une demande ou d'une procédure de révision, l'OAI est amené à demander de nombreux rapports médicaux et c'est dans le cadre de leur appréciation que l'administration ou le juge sont amenés à évaluer leur force probante et a écarté éventuellement ceux qui ne remplissent pas les exigences en la matière. La requête tendant à l'exclusion du rapport d'expertise est donc rejetée. Toutefois, il est rappelé qu'il appartiendra à l'expert de ne pas tenir compte de cette expertise et ne pas y renvoyer. Il est précisé également qu'il ne s'agira pas d'un simple complément d'expertise, mais que l'expert devra refaire une analyse complète (anamnèse, indications subjectives de l'assuré, constatations objectives, diagnostics, appréciation, etc.) en présence d'un ou d'une interprète et réécrire un nouveau rapport d'expertise.</w:t>
      </w:r>
    </w:p>
    <w:p>
      <w:r>
        <w:t>Tribunal cantonal TC Page 6 de 8 e) Il découle de ce qui précède que le recours (608 2017 184) dirigé contre la décision du 14 juin 2017 est mal fondé et doit être rejeté.</w:t>
      </w:r>
    </w:p>
    <w:p>
      <w:r>
        <w:rPr>
          <w:b/>
        </w:rPr>
        <w:t>E. 3</w:t>
      </w:r>
    </w:p>
    <w:p>
      <w:r>
        <w:t>Le recourant conteste également la décision du 26 juin 2017 lui refusant l'assistance juridique gratuite.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précités 9C_674/2011 et 8C_936/2010).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 Kommentar, 2ème éd., Zurich/Bâle/Genève 2009, ad art. 37, p. 504 no 22).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Enfin, la jurisprudence a précisé qu'un renvoi de la cause à l'administration pour instruction complémentaire suite à une procédure de recours dans laquelle l'assuré était représenté par un avocat ne donne pas d'office droit à l'assistance juridique gratuite dans le cadre de la reprise de la</w:t>
      </w:r>
    </w:p>
    <w:p>
      <w:r>
        <w:t>Tribunal cantonal TC Page 7 de 8 procédure administrative. Dans ce cas également, il faut des circonstances spéciales supplémentaires qui laissent apparaître la cause comme n'étant pas (plus) simple (arrêt TF 8C_669/2016 du 7 avril 2017 consid. 3.3.1 et les références citées). b) En l'espèce, il n'existe pas de circonstances exceptionnelles qui justifieraient l'octroi de l'assistance juridique gratuite dans le cadre de la procédure administrative. En effet, l'arrêt de la Cour de céans du 5 mai 2017 a renvoyé la cause à l'autorité intimée pour mise en œuvre d'une nouvelle expertise en présence d'un ou d'une interprète. Le renvoi est ainsi clair et aucun élément supplémentaire ne vient compliquer la procédure. Par ailleurs, le courrier adressé à l'assuré en date du 31 mai 2017 pour l'informer du choix de l'expert contient des explications claires concernant notamment son droit de demander la récusation de l'expert ou d'ajouter des questions au catalogue soumis à ce dernier. A noter enfin que, lors de la procédure administrative précédente, le recourant a très bien pu et su s'orienter seul. La reprise de la procédure n'est pas plus compliquée que la précédente, de sorte que l'assistance d'un avocat n'est pas nécessaire à ce stade. Au vu de ce qui précède, il n'est pas nécessaire d'examiner les autres conditions cumulatives du droit à l'assistance juridique gratuite, étant donné que celle du caractère exceptionnel n’est en l'espèce pas remplie et que ce constat scelle à lui seul le sort du recours. Mal fondé, le recours (608 2017 283) doit ainsi être rejeté.</w:t>
      </w:r>
    </w:p>
    <w:p>
      <w:r>
        <w:rPr>
          <w:b/>
        </w:rPr>
        <w:t>E. 4</w:t>
      </w:r>
    </w:p>
    <w:p>
      <w:r>
        <w:t>Le recourant a également sollicité le bénéfice de l'assistance judiciaire gratuite totale dans le cadre du recours contre les deux décisions de l'autorité intimée (requêtes 608 2017 185 et 608 2017 284). a)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 En l'espèce, compte tenu de ce qui précède et en particulier du rejet très clair de tous les griefs invoqués par le recourant, il faut retenir que le recours était dénué de chance de succès tant en ce qui concerne la décision du 14 juin 2017 que celle du 26 juin 2017. Les conditions susmentionnées étant cumulatives, la question de l'indigence n'a pas besoin d'être examinée et les requêtes d'assistance judiciaire gratuite totale 608 2017 185 et 608 2017 284 sont rejetées. La Cour de céans tient néanmoins à souligner que, contrairement à ce que prétend la mandataire du recourant, ce dernier n'a pas été mis au bénéfice de l'assistance judiciaire gratuite totale dans</w:t>
      </w:r>
    </w:p>
    <w:p>
      <w:r>
        <w:t>Tribunal cantonal TC Page 8 de 8 le cadre de la précédente procédure de recours. En effet, dans la mesure où il a obtenu gain de cause, sa requête est devenue sans objet et a donc été rayée du rôle sans faire l'objet d'un examen.</w:t>
      </w:r>
    </w:p>
    <w:p>
      <w:r>
        <w:rPr>
          <w:b/>
        </w:rPr>
        <w:t>E. 5</w:t>
      </w:r>
    </w:p>
    <w:p>
      <w:r>
        <w:t>Compte tenu de l'issue du litige, les frais de procédure, par CHF 400.-, sont mis à la charge du recourant qui succombe. Il n'est pas alloué d'indemnité de partie. la Cour arrête: I. Le recours 608 2017 184 est rejeté. II. Le recours 608 2017 283 est rejeté. III. Les requêtes d'assistance judiciaire 608 2017 185 et 608 2017 284 sont rejetées. IV. Les frais de procédure, par CHF 400.-, sont mis à la charge de A.________. V. Il n'est pas alloué d'indemnité de partie.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janvier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