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173 vom 6. März 2018</w:t>
      </w:r>
    </w:p>
    <w:p>
      <w:r>
        <w:t>FR Kantonsgericht, 2018-03-06, FR</w:t>
      </w:r>
    </w:p>
    <w:p>
      <w:r>
        <w:rPr>
          <w:b/>
        </w:rPr>
        <w:t xml:space="preserve">Quelle: </w:t>
      </w:r>
      <w:r>
        <w:t>https://mcp.opencaselaw.ch/entscheid/fr_gerichte_608_2017_173</w:t>
      </w:r>
    </w:p>
    <w:p>
      <w:r>
        <w:t>FR: FR_GERICHTE 608 2017 173 du 6 mars 2018</w:t>
      </w:r>
    </w:p>
    <w:p>
      <w:r>
        <w:t>IT: FR_GERICHTE 608 2017 173 del 6 marzo 2018</w:t>
      </w:r>
    </w:p>
    <w:p>
      <w:pPr>
        <w:pStyle w:val="Heading2"/>
      </w:pPr>
      <w:r>
        <w:t>Regeste</w:t>
      </w:r>
    </w:p>
    <w:p>
      <w:r>
        <w:t>Arrêt de la IIe Cour des assurances sociales du Tribunal cantonal | Invalidenversicherung</w:t>
      </w:r>
    </w:p>
    <w:p>
      <w:pPr>
        <w:pStyle w:val="Heading2"/>
      </w:pPr>
      <w:r>
        <w:t>Erwägungen</w:t>
      </w:r>
    </w:p>
    <w:p>
      <w:r>
        <w:rPr>
          <w:b/>
        </w:rPr>
        <w:t>E. 11</w:t>
      </w:r>
    </w:p>
    <w:p>
      <w:r>
        <w:t>juillet 2017. Il conclut implicitement à l'annulation de la décision attaquée et à ce que l'autorité intimée entre en matière sur sa demande. Il allègue que son état de santé se serait aggravé, les condamnations qu'il a subies attestant bien de son incapacité de gérer le quotidien et du fait qu'il ne se rend pas compte de la gravité de ses actes. Le 16 août 2017, il produit un rapport médical du 11 août 2017 du Réseau fribourgeois de santé mentale. Le 6 septembre 2017, le recourant s'est acquitté d'une avance de frais de CHF 400.-. Dans ses observations du 10 octobre 2017, l'OAI conclut au rejet du recours. Il soutient qu'aucun rapport médical motivé n'a été joint à la nouvelle demande et que l'on se trouverait uniquement en présence du ressenti du curateur. Le 1er février 2018, l'OAI ajoute que même en admettant que les faits relatés dans le rapport médical du 11 août 2017 sont antérieurs à sa décision, les troubles psychiques sont les mêmes qu'en 2006 et qu'ils ne sont pas objectivement d'une gravité suffisante pour justifier à eux seuls une incapacité de travail durable, laquelle découle essentiellement de la consommation excessive d'alcool. Ce rapport ne permet dès lors pas de rendre plausible une modification de l'état de santé du recourant.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attaquée,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w:t>
      </w:r>
    </w:p>
    <w:p>
      <w:r>
        <w:t>Tribunal cantonal TC Page 4 de 6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d) La jurisprudence a déduit du droit d'être entendu, consacré à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Ce droit est une garantie constitutionnelle de caractère formel, dont la violation doit entraîner l'annulation de la décision attaquée, indépendamment des chances de succès du recourant sur le fond (ATF 127 V 437, arrêt TF I 658/04 du 27 janvier 2006 consid. 2). 3. Est en l'espèce litigieuse la question de savoir si le recourant a établi de manière plausible une éventuelle modification de son état de santé susceptible d'influencer ses droits.</w:t>
      </w:r>
    </w:p>
    <w:p>
      <w:r>
        <w:t>Tribunal cantonal TC Page 5 de 6 a) La dernière décision entrée en force reposant sur un examen matériel du droit à la rente est la décision de refus du 19 octobre 2006, qui n'a pas été contestée par le recourant. Il ressort des rapports médicaux que le recourant souffrait à ce moment-là uniquement de troubles psychiques. Les médecins s'accordaient pour retenir des troubles mentaux et du comportement liés à l'utilisation de l'alcool (Dr D.________, spécialiste en médecine interne générale, rapport du 28 décembre 2005, dossier OAI p. 115; Dr E.________, spécialiste en psychiatrie et psychothérapie, rapport du 2 mars 2016, dossier OAI p. 104; Dresse F.________, spécialiste en psychiatrie et psychothérapie, rapport du 21 mars 2006, dossier OAI p. 92). Le Dr G.________, spécialiste en psychiatrie et psychothérapie, attestait également une dépression récurrente et des troubles de la personnalité borderline (rapport du 23 août 2005, dossier OAI p. 159). Le Dr D.________ retenait aussi des troubles mixtes de la personnalité et un état anxio-dépressif (rapport du 28 décembre 2005) et une incapacité totale de travail tant qu'il n'y a pas de suivi et de traitement psychiatrique, le Dr E.________ un épisode dépressif moyen à sévère (F32; rapport du 2 mars 2006), l'activité habituelle étant exigible une fois l'état stabilisé, et la Dresse F.________ un trouble dépressif récurrent actuellement en rémission (F33.4) ainsi qu'un soupçon de personnalité émotionnellement labile de type impulsif (F60.30), l'activité habituelle n'étant plus exigible alors qu'une autre activité l'était (rapport du 21 mars 2006). Le 24 avril 2006, le Dr H.________, spécialiste en médecine du travail et médecine interne générale, et médecin du SMR, relevait que l'incapacité de travail était clairement secondaire à l'alcoolisme et aux troubles mentaux et du comportement qui en découlaient. Ces troubles n'existeraient pas en l'absence d'alcoolisme et peuvent se réduire si la consommation cesse. Quand au trouble anxio-dépressif, qui est en rémission selon la Dresse F.________, et au trouble de la personnalité, ils étaient des troubles réactionnels qui n'étaient pas la cause de l'incapacité de travail, même si le second a des conséquences probables sur celle-ci. Il notait encore l'absence totale de motivation de l’assuré pour reprendre une activité professionnelle, la poursuite de la consommation d'alcool et sa non compliance. b) Aucun nouveau rapport médical n'ayant ensuite été produit, l'autorité intimée a refusé par décision du 17 juin 2010 d'entrer en matière sur la demande du 22 avril 2010. Elle a fait de même, pour la même raison, s'agissant de la demande du 15 mai 2017 par la décision litigieuse. Un certificat médical du 3 juillet 2017 ainsi qu'un rapport médical du 11 août 2017 de la Dresse I.________, cheffe de clinique adjointe auprès du centre cantonal d'addictologie du Réseau fribourgeois de santé mentale, ont été produits postérieurement à la décision du 7 juillet 2017. Ils ne devraient de ce fait en principe pas être pris en compte. Cependant, l'autorité intimée a rendu sa décision du 7 juillet 2017 sans même attendre le terme imparti au recourant pour produire des pièces (délai au 10 juillet 2017, notice téléphonique du 10 juillet 2017, dossier OAI p. 10). Cette manière de procéder est inconcevable avec le respect du droit d'être entendu. En effet, lorsque l'autorité rend sa décision avant l'échéance du délai qu'elle a imparti à l'assuré pour produire des pièces supplémentaires – délai dont celui-ci doit pouvoir entièrement disposer –, elle s'accommode à l'idée d'écarter d'emblée tout autre moyen qui aurait pu être produit en temps utile, sans égard à sa pertinence, et ne respecte ainsi pas le droit de l'assuré à produire des preuves. Elle ne peut dès lors plus se prévaloir de la jurisprudence selon laquelle seules sont prises en compte les pièces déposées dans ce délai. Il en résulte que toutes les pièces que l’assuré produit dans le cadre de son recours doivent être traitées comme si elles avaient été déposées dans le délai précité. En l’espèce, cela signifie que le rapport du 3 juillet 2017 ainsi que celui du 11 août 2017 ne sauraient sans autre être écartés. Cela vaut d'autant plus</w:t>
      </w:r>
    </w:p>
    <w:p>
      <w:r>
        <w:t>Tribunal cantonal TC Page 6 de 6 que la dernière décision entrée en force qui repose sur un examen matériel du droit à la rente a été rendue le 19 octobre 2006, soit il y a plus de 10 ans, et que la plausibilité d'une modification de l'état de santé du recourant ne doit pas être examinée de manière restrictive. En effet, une période de consommation aussi longue d'alcool, débutée en 1984, même si elle a parfois été interrompue, mérite un examen approfondi de son influence sur l'état de santé et la capacité de travail de l'assuré. Il en est de même de l'influence des diagnostics psychiatriques posés par la Dresse I.________, même si ceux-ci ont déjà, pour certains, été constatés auparavant. c) Au vu de ce qui précède, il convient de constater que le droit d'être entendu du recourant n'a pas été respecté. 4. Partant, le recours est admis et la décision du 7 juillet 2017 est annulée. La cause est renvoyée à l'autorité intimée pour qu'elle statue sur la demande en se fondant sur les rapports médicaux du 3 juillet 2017 et du 11 août 2017. Les frais de procédure, par CHF 400.-, sont mis à la charge de l'autorité intimée qui succombe. L'avance de frais de CHF 400.- versée le 6 septembre 2017 par le recourant lui est restituée. la Cour arrête: I. Le recours est admis. Partant, la décision du 7 juillet 2017 est annulée et la cause est renvoyée à l'Office de l'assurance-invalidité du canton de Fribourg pour qu'il statue sur la demande du 15 mai 2017 en se fondant sur les rapports du 3 juillet 2017 et du 11 août 2017. II. Les frais de procédure, par CHF 400.-, sont mis à la charge de l'Office de l'assurance- invalidité du canton de Fribourg. III. L'avance de frais de CHF 400.- versée par A.________ lui est restituée.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