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158 vom 27. Juni 2018</w:t>
      </w:r>
    </w:p>
    <w:p>
      <w:r>
        <w:t>FR Kantonsgericht, 2018-06-27, FR</w:t>
      </w:r>
    </w:p>
    <w:p>
      <w:r>
        <w:rPr>
          <w:b/>
        </w:rPr>
        <w:t xml:space="preserve">Quelle: </w:t>
      </w:r>
      <w:r>
        <w:t>https://mcp.opencaselaw.ch/entscheid/fr_gerichte_608_2017_158</w:t>
      </w:r>
    </w:p>
    <w:p>
      <w:r>
        <w:t>FR: FR_GERICHTE 608 2017 158 du 27 juin 2018</w:t>
      </w:r>
    </w:p>
    <w:p>
      <w:r>
        <w:t>IT: FR_GERICHTE 608 2017 158 del 27 giugno 2018</w:t>
      </w:r>
    </w:p>
    <w:p>
      <w:pPr>
        <w:pStyle w:val="Heading2"/>
      </w:pPr>
      <w:r>
        <w:t>Regeste</w:t>
      </w:r>
    </w:p>
    <w:p>
      <w:r>
        <w:t>Arrêt de la IIe Cour des assurances sociales du Tribunal cantonal | Invalidenversicherung</w:t>
      </w:r>
    </w:p>
    <w:p>
      <w:pPr>
        <w:pStyle w:val="Heading2"/>
      </w:pPr>
      <w:r>
        <w:t>Erwägungen</w:t>
      </w:r>
    </w:p>
    <w:p>
      <w:r>
        <w:rPr>
          <w:b/>
        </w:rPr>
        <w:t>E. 31</w:t>
      </w:r>
    </w:p>
    <w:p>
      <w:r>
        <w:t>mai 2000 et à un quart de rente du 1er juin 2000 au 31 décembre 2000 (sur la base d'un degré d'invalidité de 54%). Pour la période ultérieure, il lui a dénié le droit à une rente, en raison d'une perte de gain inférieure à 40%. B. Le 17 mars 2016, l'assuré a déposé une nouvelle demande de rente auprès de l'OAI en raison d'une "consommation d'alcool régulière et trop importante". Après avoir requis des rapports auprès du généraliste traitant et demandé l'avis de son Service médical régional (ci-après: SMR), l'OAI a, par décision du 28 juin 2017, reprenant un projet du 7 février 2017, rejeté la demande de rente dès lors qu'il s'agissait selon lui d'une toxicomanie primaire sans comorbidité invalidante. C. Contre cette décision, l'assuré, représenté par Me Jean-Luc Herbez, avocat, interjette recours devant le Tribunal cantonal le 28 juin 2017 concluant, avec suite de frais et dépens, au renvoi du dossier pour instruction complémentaire. Il se plaint essentiellement de ce que l'OAI n'a pas demandé de rapport (actualisé) à son généraliste et à sa psychiatre, et cela malgré plusieurs demandes. Le 7 août 2017, il s'est acquitté de l'avance de frais de CHF 800.- requise. Dans ses observations du 31 août 2017, l'OAI propose le rejet du recours. Il relève que la consommation d'alcool du recourant est connue de longue date et ne l'a, pour autant, jamais empêchée d'exercer une activité lucrative. Il souligne en outre que l'incidence du sevrage sur la capacité de travail médicalement attestée permet de conclure au caractère primaire de l'alcoolisme d'espèce. Il n'a pas été procédé à un second échange d'écritures entre les parties. Autant qu’utiles à la solution du litige, il sera fait état des arguments développés par les parties à l’appui de leurs conclusions respectives dans les considérants en droit du présent arrêt.</w:t>
      </w:r>
    </w:p>
    <w:p>
      <w:r>
        <w:t>Tribunal cantonal TC Page 3 de 7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L’analyse doit tenir compte des facteurs excluant la valeur invalidante à ces diagnostics. On conclura dès lors à l'absence d'une atteinte à la santé ouvrant le droit aux prestations d'assurance, si les limitations liées à l'exercice d'une activité résultent d'une exagération des symptômes ou d'une constellation semblable. Ensuite,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tenant compte d'un catalogue d'indices qui rassemble les éléments essentiels propres aux troubles de nature psychosomatique (cf. ATF 141 V 281; cf. ég. arrêt TF 8C_841/2016 du 30 novembre 2017). Enfin, pour qu'une invalidité soit reconnue, il est nécessaire qu'un substrat médical pertinent entrave la capacité de travail (et de gain) de manière importante et soit à chaque fois mis en évidence par un médecin spécialisé. Pour leurs parts, les facteurs psychosociaux et socioculturels ne constituent pour elles seules pas des atteintes à la santé entraînant une incapacité de gain au sens de l'art. 4 LAI (ATF 127 V 294 consid. 5a; arrêt TF I 797/06 du 21 août 2007 consid. 4). 2.3.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w:t>
      </w:r>
    </w:p>
    <w:p>
      <w:r>
        <w:t>Tribunal cantonal TC Page 4 de 7 mentale ou psychique qui a valeur de maladie (arrêt TF 9C_395/2007 du 15 avril 2008 consid. 2.2;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TF 8C_356/2012 du 11 février 2013 consid. 3; 9C_960/2009 du 24 février 2010 consid. 2.2; 9C_395/2007 du 15 avril 2008 consid. 2.2; sur l'ensemble de la question, cf. arrêt TF I 169/06 du 8 août 2006 consid. 2.2 et les références citées). 2.4. Selon l'art. 17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w:t>
      </w:r>
    </w:p>
    <w:p>
      <w:r>
        <w:t>Tribunal cantonal TC Page 5 de 7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2.5.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D'après l'art. 69 al. 2 RAI, si les conditions de la demande de prestations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2.6.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t>Tribunal cantonal TC Page 6 de 7 3. Le litige porte sur la question de savoir si l'état de santé du recourant s'est aggravé au point de justifier l'octroi de prestations AI, voire si la mise sur pied d’une expertise est nécessaire. L'OAI considère que l'incapacité de travail présentée par son assuré est avant tout due à sa dépendance primaire à l'alcool, se fondant, en cela, sur l'avis du Dr C.________, spécialiste en anesthésiologie, du SMR. Celui-ci soutient que le recourant "présente un alcoolisme chronique depuis plus de 35 ans. En l'absence d'une pathologie psychiatrique préexistante et à elle seule invalidante, il s'agit d'une toxicomanie primaire au sens de l'AI. La cause de l'incapacité de travail est liée exclusivement à la consommation d'alcool. Pour preuve, lorsque l'assuré était abstinent, son médecin demandait une aide à la réinsertion professionnelle" (dossier OAI, p. 51 et 68). Cependant, alors même qu'elles sont uniquement fondées sur les pièces du dossier assécurologique, les conclusions du Dr C.________ ne reprennent que partiellement les éléments qui y figurent. En effet, les seuls rapports médicaux récents au dossier sont ceux du Dr D.________, spécialiste en médecine interne générale. Or, si celui-ci atteste de l'existence d'un alcoolisme depuis 1980, il précise aussi que son patient souffre d'une "anxiété généralisée F41" depuis la même époque. Cela contredit dès lors l'affirmation du médecin SMR selon laquelle il n'y a pas de "pathologie psychiatrique préexistante et à elle seule invalidante". En outre, si, effectivement, le médecin traitant a cessé de proposer une réinsertion professionnelle lorsque son patient a repris sa consommation d'alcool, force est de constater que, durant la période d'abstinence, la capacité de travail n'était que de 50%. Cela rend nettement moins plausible l'assertion du médecin SMR pour qui "la cause de l'incapacité de travail est liée exclusivement à la consommation d'alcool" (cf. dossier OAI, p. 72 et 97). Par ailleurs, la Cour constate que, par courrier du 5 avril 2017, la Dresse E.________, spécialiste en psychiatrie et psychothérapie, s'est adressée à l'OAI, indiquant qu'elle "souhait[ait] donner un complément aux précédents rapports médicaux établis en faveur [du recourant] […] et [lui] demand[ait] pour cela de bien vouloir [lui] adresser les formulaires ad hoc". Elle précisait qu'un "avis psychiatrique pouvait se révéler très utile dans cette situation" (dossier OAI, p. 54). Or, cette demande n'a pas eu de suites. En particulier, aucun formulaire n'a été adressé à la psychiatre. Pour sa part, le médecin SMR – pourtant interrogé peu après – ne fait pas mention de l'intervention de la psychiatre (dossier OAI, p. 52). Au demeurant, le Dr D.________ semble plutôt privilégier l'hypothèse d'une dépendance secondaire à l'anxiété généralisée, relevant que la "reprise de la consommation d'alcool massive" a eu lieu "sur accentuation de l'état anxieux". De même, le médecin rappelle que la prise du Lyrica – soit un traitement pour les troubles anxieux généralisés – a permis au recourant de stopper sa consommation d'alcool et que la rechute est survenue suite à une diminution de la médication. Il apparaît ainsi que l'avis du médecin SMR est isolé. A sa lecture, celui-ci a procédé à une démarche diagnostique dans un domaine qui n'est pas le sien, tout en s'écartant des constats figurant au dossier, sans même avoir examiné l’assuré. Cela dépasse le rôle de conseil qui est reconnu au SMR. On le rappelle, lorsqu'il ne se fonde pas sur un examen clinique, le médecin SMR ne peut qu'indiquer quelle opinion médicale il convient de suivre ou, cas échéant, de proposer des investigations complémentaires (cf. arrêt TF 9C_839/2015 du 2 mai 2016 consid. 3.3). Pour ce motif, l'avis du médecin SMR ne saurait être suivi. Au vu de l'ensemble de ce qui précède, force est dès lors de constater que l'autorité intimée a statué sur la base d'un dossier incomplet, s'abstenant de toute mesure d'instruction dans le</w:t>
      </w:r>
    </w:p>
    <w:p>
      <w:r>
        <w:t>Tribunal cantonal TC Page 7 de 7 domaine psychiatrique. Cela justifie le renvoi de la cause pour instruction complémentaire et nouvelle décision. 4. Partant, le recours, bien fondé, doit être admis, la décision étant annulée, et le dossier renvoyé à l'autorité intimée pour instruction complémentaire et nouvelle décision. Les frais de procédure, par CHF 800.-, sont mis à la charge de l'autorité intimée. L'avance de frais du même montant versée par le recourant lui est restituée. Ayant obtenu gain de cause, le recourant, représenté par un mandataire professionnel, a droit à des dépens pour ses frais de défense. Le 28 mai 2018, son mandataire a produit sa liste de frais pour un montant total de CHF 1'048.75, soit CHF 950.- au titre d'honoraires, CHF 23.75 au titre des frais et CHF 75.- au titre de la TVA (7.7%). Ces montants sont intégralement mis à la charge de l'autorité intimée. la Cour arrête: I. Le recours est admis. Partant, la décision du 23 mai 2017 est annulée et le dossier renvoyé à l'autorité intimée pour instruction complémentaire dans le sens des considérants et nouvelle décision. II. Les frais de procédure, par CHF 800.-, sont mis à la charge de l'autorité intimée; l'avance de frais du même montant versée par le recourant lui est restituée. III. L'indemnité de partie est fixée à CHF 1'048.75, dont CHF 75.- au titre de la TVA (7.7%); ce montant est mis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