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153 vom 8. November 2017</w:t>
      </w:r>
    </w:p>
    <w:p>
      <w:r>
        <w:t>FR Kantonsgericht, 2017-11-08, FR</w:t>
      </w:r>
    </w:p>
    <w:p>
      <w:r>
        <w:rPr>
          <w:b/>
        </w:rPr>
        <w:t xml:space="preserve">Quelle: </w:t>
      </w:r>
      <w:r>
        <w:t>https://mcp.opencaselaw.ch/entscheid/fr_gerichte_608_2017_153</w:t>
      </w:r>
    </w:p>
    <w:p>
      <w:r>
        <w:t>FR: FR_GERICHTE 608 2017 153 du 8 novembre 2017</w:t>
      </w:r>
    </w:p>
    <w:p>
      <w:r>
        <w:t>IT: FR_GERICHTE 608 2017 153 del 8 novembre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 sous réserve de ce qui suit.</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t>Tribunal cantonal TC Page 4 de 6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w:t>
      </w:r>
    </w:p>
    <w:p>
      <w:r>
        <w:rPr>
          <w:b/>
        </w:rPr>
        <w:t>E. 3</w:t>
      </w:r>
    </w:p>
    <w:p>
      <w:r>
        <w:t>Est en l'espèce litigieuse la question de savoir si la recourante a établi de manière plausible une éventuelle modification de son invalidité susceptible d'influencer ses droits.</w:t>
      </w:r>
    </w:p>
    <w:p>
      <w:r>
        <w:t>Tribunal cantonal TC Page 5 de 6 a) Le 17 septembre 2014, le droit à une demi-rente d'invalidité suite à la réduction de sa rente entière a été reconnu à la recourante pour des troubles psychiques, à l'exclusion de troubles physiques, notamment sur la base d'une expertise psychiatrique du 13 février 2014. Les diagnostics posés étaient un trouble douloureux associé à la fois à des facteurs psychologiques et une affection médicale générale, un épisode dépressif majeur récurrent, de gravité légère, et à une personnalité du registre état limite, de type abandonnique, non décompensé. L'expert a relevé que l'assurée se plaignait de douleurs au poignet gauche qui avaient pris une forme extensive qui s'étendait à l'ensemble du corps. Ces douleurs étaient ubiquitaires et mal systématisables. Il existait une symptomatologie anxio-dépressive fluctuante qui n'était pas caractérisée par une anhédonie, aboulie ou apragmatisme, une angoisse fluctuante, de légers troubles du sommeil, parfois une certaine fatigue, un sentiment d'impuissance et de crainte vis-à-vis de son entourage. b) Plusieurs rapports médicaux ont été joints au dossier depuis la dernière décision entrée en force, soit celle du 17 septembre 2014. Sur le plan psychiatrique, la Dresse C.________, spécialiste FMH en psychiatrie et psychothérapie et psychiatre traitante de l'assurée, diagnostique un trouble dépressif récurrent, épisode actuel sévère, sans symptômes psychotiques, un trouble douloureux somatoforme et une structure de personnalité émotionnellement labile. Elle relève une humeur versant négatif, une anxiété avec manifestations neurovégétatives, une perte de confiance en soi, des ruminations et des pleurs, un sentiment d'inutilité, une perte d'élan vital, une anhédonie, des scarifications par griffures, des idées noires occasionnelles, du désespoir et une absence de troubles de la perception sensorielle ou d'idée délirantes systématisées (rapports du 10 août 2016, dossier OAI p. 111, et du 6 février 2017, dossier OAI p. 58). Les diagnostics posés sont ainsi, bien que formulés différemment, les mêmes que ceux retenus dans l'expertise psychiatrique du 13 février 2014, si ce n'est que le trouble dépressif récurrent est à nouveau dans un épisode actuel sévère. Il existe en outre des différences dans les constatations faites par les médecins: si notamment les problèmes physiques, l'humeur négative, l'anxiété et la perte de confiance avaient déjà été relevés par l'expert-psychiatre, tel n'est pas le cas des ruminations, de l'anhédonie, des scarifications par griffures ou des idées noires occasionnelles. Sur le plan physique, il avait été retenu en 2014 que les douleurs ressenties par la recourante étaient à placer dans un contexte de manifestations psychosomatiques. Il apparaît désormais que les douleurs pourraient avoir une origine organique, du moins au niveau de la colonne cervicale. Il ressort en effet d'un rapport d'IRM du 1er mai 2017 (bordereau de pièces de la recourante) qu'il existe des troubles statiques de la colonne cervicale, une dessiccation des disques cervicaux et des protrusions discales C4-C7 paramédianes droites sans pathologie pouvant incriminer les racines à gauche. Ainsi, dans la mesure où des faits nouveaux semblent être survenus, il faut constater qu'une modification essentielle des conditions de faits susceptible d'influer sur le taux d'invalidité de l'assurée a été rendue plausible. La prise de position du 7 avril 2017 du médecin du SMR, lequel ne l'a pas personnellement examinée, et la décision attaquée ne convainquent donc pas. C'est le lieu de relever encore que la recourante a déposé sa demande de révision plus de deux ans après que la décision du 17 septembre 2014 ait été rendue, de sorte qu'il n'y a pas à se montrer particulièrement exigeant pour apprécier le caractère plausible de ses allégations. En tant qu'elles ont trait à l'octroi d'une rente et de mesures de réadaptation, les conclusions de la recourante sur le fond sont irrecevables.</w:t>
      </w:r>
    </w:p>
    <w:p>
      <w:r>
        <w:t>Tribunal cantonal TC Page 6 de 6</w:t>
      </w:r>
    </w:p>
    <w:p>
      <w:r>
        <w:rPr>
          <w:b/>
        </w:rPr>
        <w:t>E. 4</w:t>
      </w:r>
    </w:p>
    <w:p>
      <w:r>
        <w:t>a) Partant, le recours, bien fondé, doit être admis et la décision du 16 mai 2017 annulée. La cause est renvoyée à l'autorité intimée afin qu'elle entre en matière sur la demande de révision. b) Les frais de procédure, par CHF 400.-, sont mis à la charge de l'autorité intimée qui succombe. L'avance de frais versée le 5 juillet 2017 par la recourante lui est restituée. c) L’admission du recours a également pour conséquence que la recourante, représentée par une avocate du service juridique d’un organisme d'utilité publique, a droit à une indemnité réduite pour ses dépens (cf. art. 61 let. g LPGA). Compte tenu de la difficulté et de l'importance relatives de l'affaire, il se justifie de fixer l'équitable indemnité de partie à laquelle il a droit à CHF 1'500.-, débours et éventuelle TVA compris, et de la mettre intégralement à la charge de l'autorité intimée. la Cour arrête: I. Le recours est admis, dans la mesure de sa recevabilité. Partant, la décision du 16 mai 2017 est annulée et la cause renvoyée à l'autorité intimée afin qu'elle entre en matière sur la demande de révision et rende une nouvelle décision. II. Les frais de procédure, par CHF 400.-, sont mis à la charge de l'Office de l'assurance- invalidité du canton de Fribourg. III. L'avance de frais versée le 5 juillet 2017 par A.________ lui est restituée. IV. L'indemnité de partie est fixée à CHF 1'500.-, débours et éventuelle TVA compris,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novembre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