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128 vom 19. April 2018</w:t>
      </w:r>
    </w:p>
    <w:p>
      <w:r>
        <w:t>FR Kantonsgericht, 2018-04-19, FR</w:t>
      </w:r>
    </w:p>
    <w:p>
      <w:r>
        <w:rPr>
          <w:b/>
        </w:rPr>
        <w:t xml:space="preserve">Quelle: </w:t>
      </w:r>
      <w:r>
        <w:t>https://mcp.opencaselaw.ch/entscheid/fr_gerichte_608_2017_128</w:t>
      </w:r>
    </w:p>
    <w:p>
      <w:r>
        <w:t>FR: FR_GERICHTE 608 2017 128 du 19 avril 2018</w:t>
      </w:r>
    </w:p>
    <w:p>
      <w:r>
        <w:t>IT: FR_GERICHTE 608 2017 128 del 19 aprile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l’avance de frais ayant été versée dans le délai imparti, le recours est recevable.</w:t>
      </w:r>
    </w:p>
    <w:p>
      <w:r>
        <w:rPr>
          <w:b/>
        </w:rPr>
        <w:t>E. 2.1</w:t>
      </w:r>
    </w:p>
    <w:p>
      <w:r>
        <w:t>Aux termes de l’art. 8 de la loi du 6 octobre 2000 sur la partie générale du droit des assurances-sociales (LPGA ; RS 830.1), applicable par le renvoi de l’art. 1 al. 1 de la loi du 19 juin 1959 sur l'assurance-invalidité (LAI ; RS 831.20), est réputée invalidité l’incapacité de gain totale ou partielle qui est présumée permanente ou de longue durée.</w:t>
      </w:r>
    </w:p>
    <w:p>
      <w:r>
        <w:rPr>
          <w:b/>
        </w:rPr>
        <w:t>E. 2.2</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w:t>
      </w:r>
    </w:p>
    <w:p>
      <w:r>
        <w:rPr>
          <w:b/>
        </w:rPr>
        <w:t>E. 2.3</w:t>
      </w:r>
    </w:p>
    <w:p>
      <w:r>
        <w:t>Pour évaluer le degré d'invalidité, il existe principalement trois méthodes : la méthode générale de comparaison des revenus, la méthode spécifique et la méthode mixte, dont l'application dépend du statut du bénéficiaire potentiel de la rente : assuré exerçant une activité lucrative à temps complet, assuré non actif, assuré exerçant une activité lucrative à temps partiel (ATF 137 V 334 et les références citées).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 c'est la méthode générale de comparaison des revenus (art. 28a al. 1 LAI en corrélation avec l'art. 16 LPGA) et ses sous-variantes, la méthode de comparaison en pour- cent (ATF 114 V 310, consid. 3a) et la méthode extraordinaire de comparaison des revenus (ATF 128 V 29 ; voir également Tribunal fédéral, arrêt non publié 9C_236/2009 du 7 octobre 2009 consid. 3 et 4).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w:t>
      </w:r>
    </w:p>
    <w:p>
      <w:r>
        <w:t>Tribunal cantonal TC Page 5 de 8 Chez les assurés qui n'exerçaient pas d'activité lucrative avant d'être atteints dans leur santé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ces cas,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 ATF 131 V 51 consid. 5.1.2).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établie par l'OFAS (CIIAI; ATF 121 V 366 consid. 1b).</w:t>
      </w:r>
    </w:p>
    <w:p>
      <w:r>
        <w:rPr>
          <w:b/>
        </w:rPr>
        <w:t>E. 2.4</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ATF 133 V 504 consid. 3.3 ; ATF 131 V 51 consid. 5.1.2 et ATF 125 V 146 consid. 5c/bb ; Tribunal fédéral, arrêt non publié 9C_49/2008 du 28 juillet 2008 consid. 3.1-3.4 et arrêt du Tribunal fédéral des assurances I 156/04 du 13 décembre 2005 consid. 5.1.2).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w:t>
      </w:r>
    </w:p>
    <w:p>
      <w:r>
        <w:t>Tribunal cantonal TC Page 6 de 8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w:t>
      </w:r>
    </w:p>
    <w:p>
      <w:r>
        <w:rPr>
          <w:b/>
        </w:rPr>
        <w:t>E. 3.1</w:t>
      </w:r>
    </w:p>
    <w:p>
      <w:r>
        <w:t>L’objet du litige porte sur l’application de la méthode de comparaison des revenus plutôt que sur la méthode mixte et sur la déduction admise au titre de diminution du dommage. En soi, l’assurée ne conteste pas que, pour ce qui est d’une activité à temps partielle, il y ait lieu d’appliquer la méthode mixte. Elle fait cependant valoir que l’OAI aurait dû prendre en considération comme base de calcul non pas une activité à temps partiel, mais le fait que, sans atteinte à la santé, elle aurait choisi d’exercer une activité à plein temps. Pour l’OAI, en revanche, le fait que l’assurée se soit déterminée tardivement sur sa volonté de reprendre une activité à plein temps est l’indice qu’elle n’avait pas réellement l’intention de le faire et que, à tout le moins, elle n’avait pas rendu plausible que ce fût le cas. En l’espèce, ce raisonnement ne saurait être suivi. En effet, contrairement à ce que pense l’OAI, avant son mariage, l’assurée travaillait bel et bien à plein temps ; elle a réduit puis cessé toute activité lucrative à la naissance de son premier enfant. Au moment où elle a présenté les premiers symptômes de sa maladie, elle exerçait une activité à 60%, et ce malgré le fait qu’elle s’occupait de ses enfants et qu’elle était atteinte dans sa santé. L’on peut aisément comprendre, en effet, qu’une mère d’enfants adolescents, âgés de 12 et 14 ans, doive leur consacrer du temps. Elle a continué à remplir ses obligations maternelles alors que ses enfants étaient aux études et résidaient au domicile familial. Ce n’est qu’au moment où les enfants ont définitivement quitté le domicile qu’elle a présenté – à l’âge de 54 ans - une demande de révision de la rente en faisant valoir son désir de prendre une activité à 100%. Contrairement à l’appréciation de l’OAI qui ne se fonde sur aucune motivation sérieuse, il n’est nullement extraordinaire ni inhabituel qu’une personne, ayant, de surcroît, une formation supérieure, après avoir accompli ses devoirs à l’égard de ses enfants, puisse vouloir reprendre une vie active à 100%, au moment où lesdits enfants sont totalement indépendants, et ce à plus forte raison qu’avant sa maternité, elle exerçait déjà une activité à temps complet et qu’elle n’est âgée que de 54 ans. Or, l’OAI a écarté sans motif valable et sans même entrer en matière, le fait que la recourante travaillait à plein temps avant d’être mère. En décidant, de manière arbitraire, que pour rendre vraisemblable son désir de travailler à plein temps, elle aurait dû débuter celle-ci alors que ses enfants étaient au CO ou au moment où ils ont atteint la majorité, il a non seulement méconnu une réalité sociale actuelle, mais encore s’est rendu coupable de discrimination à l’égard de son assurée.</w:t>
      </w:r>
    </w:p>
    <w:p>
      <w:r>
        <w:rPr>
          <w:b/>
        </w:rPr>
        <w:t>E. 3.2</w:t>
      </w:r>
    </w:p>
    <w:p>
      <w:r>
        <w:t>Par surabondance, on peut encore émettre les considérations suivantes. La méthode mixte de calcul du degré d’invalidité a fait l’objet de nombreuses critiques lui reprochant d’aboutir à reconnaître un taux d’invalidité plus faible que celui qui ressort de la méthode de comparaison des</w:t>
      </w:r>
    </w:p>
    <w:p>
      <w:r>
        <w:t>Tribunal cantonal TC Page 7 de 8 revenus. D’autre part, il est reproché à cette méthode de ne pas tenir compte des réalités sociales et d’être discriminatoire, notamment parce qu’elle vise avant tout les femmes qui forment le pourcentage le plus important des travailleurs à temps partiel. Le Conseil fédéral a rendu un rapport sur cette question (Assurance-invalidité : évaluation du taux d’invalidité des personnes travaillant à temps partiel – Rapport du Conseil fédéral au postulat de Jans Beat, du 1er juillet 2015 – 12.3960 Assurance-invalidité. Les travailleurs à temps partiel sont désavantagés), d’où il ressort qu’il est conscient des effets néfastes de la méthode mixte. Le 2 février 2016, la Cour Européenne des Droits de l’Homme a rendu un jugement (Affaire 7186/09 Di Tizio contre Suisse) dans lequel elle retient, en substance, que la méthode mixte constitue une discrimination indirecte faite aux femmes si l’activité lucrative exercée à temps partiel résulte d’accomplissement d’obligations familiales. En conséquence, le Conseil fédéral a modifié le RAI, en date du 1er décembre 2017, avec effet au 1er janvier 2018. Il résulte de la jurisprudence européenne précitée que la méthode mixte ne peut s’appliquer aux personnes qui ont réduit leur taux d’activité pour s’occuper d’enfants, car le travail à temps partiel n’est pas dû à des commodités personnelles, mais à l’accomplissement d’une tâche éducative liée au devoir parental. C’est manifestement le cas d’espèce, l’assurée n’ayant pas fait le choix de réduire son activité au moment de la naissance de ses enfants pour des raisons personnelles, mais bien en raison de sa situation familiale. Autre aurait été le cas si elle avait toujours travaillé à temps partiel, avant la naissance des enfants, mais manifestement cela ne correspond pas à la situation de la recourante. Dès lors, le recours, bien fondé sur ce point, doit être admis et le dossier retourné à l’OAI, à charge pour cet office de calculer le degré d’invalidité de la recourante sur la base de la méthode de comparaison des revenus, à partir du moment où elle aurait, sans son invalidité, repris une activité à plein temps, conformément à sa demande de révision de la rente.</w:t>
      </w:r>
    </w:p>
    <w:p>
      <w:r>
        <w:rPr>
          <w:b/>
        </w:rPr>
        <w:t>E. 4</w:t>
      </w:r>
    </w:p>
    <w:p>
      <w:r>
        <w:t>S’agissant du grief de la participation aux tâches du ménage de l’époux de la recourante, il devient hors propos, vu l’issue du recours, de sorte qu’il n’y a pas lieu d’entrer en matière sur cet objet de la contestation. Les frais de procédure, par CHF 800.-, sont mis à la charge de l'autorité intimée qui succombe. L'avance de frais du même montant versée par la recourante lui est restituée. Il n'est pas alloué d'indemnité de partie.</w:t>
      </w:r>
    </w:p>
    <w:p>
      <w:r>
        <w:t>Tribunal cantonal TC Page 8 de 8 la Cour arrête: I. Le recours est admis et la décision annulée. Partant, la cause est renvoyée à l’autorité intimée pour instruction complémentaire au sens des considérants et nouvelle décision. II. Les frais de procédure, par CHF 800.-, sont mis à la charge de l'Office de l'assurance- invalidité du canton de Fribourg qui succombe. Ils sont restitués à la recourante qui en a fait l’avance.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2018/esc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