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124 vom 12. Oktober 2018</w:t>
      </w:r>
    </w:p>
    <w:p>
      <w:r>
        <w:t>FR Kantonsgericht, 2018-10-12, FR</w:t>
      </w:r>
    </w:p>
    <w:p>
      <w:r>
        <w:rPr>
          <w:b/>
        </w:rPr>
        <w:t xml:space="preserve">Quelle: </w:t>
      </w:r>
      <w:r>
        <w:t>https://mcp.opencaselaw.ch/entscheid/fr_gerichte_608_2017_124</w:t>
      </w:r>
    </w:p>
    <w:p>
      <w:r>
        <w:t>FR: FR_GERICHTE 608 2017 124 du 12 octobre 2018</w:t>
      </w:r>
    </w:p>
    <w:p>
      <w:r>
        <w:t>IT: FR_GERICHTE 608 2017 124 del 12 ottobre 2018</w:t>
      </w:r>
    </w:p>
    <w:p>
      <w:pPr>
        <w:pStyle w:val="Heading2"/>
      </w:pPr>
      <w:r>
        <w:t>Regeste</w:t>
      </w:r>
    </w:p>
    <w:p>
      <w:r>
        <w:t>Arrêt de la IIe Cour des assurances sociales du Tribunal cantonal | Invalidenversicherung</w:t>
      </w:r>
    </w:p>
    <w:p>
      <w:pPr>
        <w:pStyle w:val="Heading2"/>
      </w:pPr>
      <w:r>
        <w:t>Erwägungen</w:t>
      </w:r>
    </w:p>
    <w:p>
      <w:r>
        <w:rPr>
          <w:b/>
        </w:rPr>
        <w:t>E. 21</w:t>
      </w:r>
    </w:p>
    <w:p>
      <w:r>
        <w:t>mai 2015) mais a considéré que l'état s'améliorerait suite à une modification du traitement. Selon elle, l'assurée était susceptible de travailler à temps plein dans une activité adaptée dès le 18 juin 2015. C. Se fondant sur les conclusions de la clinique D.________, par décision du 26 avril 2017, confirmant un projet du 29 août 2016, l'OAI a reconnu à son assurée le droit à une rente entière du 1er juin 2014 au 30 septembre 2015, celle-ci étant supprimée pour la suite en présence d'une capacité de travail dans l'ancienne activité de chauffeure. D. Contre cette décision, l'assurée, représentée par Me Charles Guerry, avocat, interjette recours devant le Tribunal cantonal le 24 mai 2017, concluant, avec suite de frais et dépens, à l'octroi d'une rente entière de durée indéterminée. A l'appui de son recours, elle conteste la valeur probante du rapport d'expertise de la clinique D.________, estimant que les conclusions de l'experte sont insuffisamment motivées, voire contradictoires. A ses yeux, l'amélioration évoquée par cette dernière ne constitue qu'une appréciation différente d'une situation globalement inchangée, ce qui n'est pas un motif de révision. Le 2 juin 2017, l'assurée s'est acquittée de l'avance de frais de CHF 800.- requise. Dans ses observations du 9 novembre 2017, l'OAI propose le rejet du recours estimant, en substance, que l'expertise de la clinique D.________ possède une pleine force probante, ce qu'attestent d'autres pièces au dossier. Il n'a pas été ordonné de second échange d'écritures, étant relevé que la recourante a transmis des observations spontanées les 9 janvier, 1er mars, 3 avril, 5 avril et 9 mai 2018. Ces courriers</w:t>
      </w:r>
    </w:p>
    <w:p>
      <w:r>
        <w:t>Tribunal cantonal TC Page 3 de 8 n'ont suscité aucune observation de la part de l'OAI, lequel avait été invité à se déterminer à leur égard. Appelée en cause en tant que fonds de prévoyance intéressé, E.________ a indiqué que la recourante n'était pas assurée auprès d'elle au titre de la prévoyance LPP. Il sera fait état des arguments, développés par les parties à l'appui de leurs conclusions, dans les considérants de droit du présent arrêt, pour autant que cela soit utile à la solution du litige. en droit 1. Le recours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2. 2.1. 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 y compris en cas de troubles somatoformes douloureux persistants ou de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2.2.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t>Tribunal cantonal TC Page 4 de 8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En cas d'allocation d'une rente dégressive ou temporaire, la date de la modification du droit (diminution ou suppression de la rente) doit être fixée conformément à l'art. 88a al. 1 RAI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3. 3.1.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l'on ne saurait remettre en cause une expertise ordonnée par l'administration ou un juge et procéder à de nouvelles investigations</w:t>
      </w:r>
    </w:p>
    <w:p>
      <w:r>
        <w:t>Tribunal cantonal TC Page 5 de 8 du seul fait qu'un ou plusieurs médecins traitants ont une opinion contradictoire (arrêt TF 9C_201/2007 du 29 janvier 2008). 3.2. Dans son arrêt 2C_32/2017 du 22 décembre 2017, le Tribunal fédéral a retenu que les expertises pratiquées auprès du "département expertise" de la clinique D.________ ont un poids déterminant pour de nombreux justiciables, de sorte que l'on doit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(cf. arrêt TF 9F_5/2018 du 16 août 2018 consid. 2.3.1 et les références). En droit des assurances sociales, une évaluation médicale effectuée dans les règles de l'art revêt une importance décisive pour l'établissement des faits pertinents. Elle implique en particulier la neutralité de l'expert, dont la garantie vise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"département expertise" par le Tribunal fédéral dans la procédure relative au retrait de l'autorisation de la clinique D.________ soulèvent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Dès lors, de même que l'organe d'exécution de l'assurance-invalidité ou le juge ne peut se fonder sur un rapport médical qui, en soi, remplit les exigences en matière de valeur probante lorsqu'il existe des circonstances qui soulèvent des doutes quant à l'impartialité et l'indépendance de son auteur, fondés non pas sur une impression subjective mais une approche objective, il n'est pas admissible de reprendre les conclusions d'une expertise qui a été établie dans des circonstances ébranlant de manière générale la confiance placée dans l'institution mandatée pour l'expertise en cause. Peu importe le point de savoir si ledit responsable est concrètement intervenu dans la rédaction du rapport d'espèce, voire en a modifié le contenu à l'insu de son auteur (cf. arrêt TF 9F_5/2018 du 16 août 2018 consid. 2.3.2 et les références). 3.3.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w:t>
      </w:r>
    </w:p>
    <w:p>
      <w:r>
        <w:t>Tribunal cantonal TC Page 6 de 8 d’experts nécessitent des éclaircissements, des précisions ou des compléments (ATF 137 V 210, consid. 4.4.1.4). 4. 4.1. Dans sa décision du 26 avril 2017, l'OAI s'est exclusivement appuyé sur l'expertise rendue le 18 juin 2015 par un médecin psychiatre actif au sein de la clinique D.________ pour admettre l'amélioration de l'état de santé de l'assurée, mettant ainsi fin au droit à la rente. Cette expertise a été réalisée à une époque où le responsable médical du "département expertise" était susceptible de modifier illicitement le contenu de rapports. En conséquence, cette expertise ne peut pas servir de fondement pour statuer sur le droit de la requérante aux prestations de l'assurance-invalidité. Peu importe le point de savoir si ledit responsable est concrètement intervenu dans la rédaction du rapport d'espèce, voire en a modifié le contenu à l'insu de son auteur. Il n'est, en tout état de cause, pas possible d'accorder pleine confiance au rapport du 18 juin 2015, établi sous l'enseigne de la clinique D.________. Les exigences liées à la qualité de l'exécution d'un mandat d'expertise médicale en droit des assurances sociales ne pouvaient être considérées comme suffisamment garanties au sein du "département expertise" de celle-ci (cf. arrêt TF 9F_5/2018 du 16 août 2018 consid. 3). On relèvera à cet égard que les organes de l'assurance-invalidité ont renoncé à confier des mandats d'expertise à cette clinique depuis 2015, date depuis laquelle le centre a été suspendu de la plateforme SuisseMED@P (cf. Conseil fédéral, réponse à la question de Madame la Conseillère nationale Rebecca Ruiz 18.5054, La clinique D.________ a-t-elle encore la confiance de l'OFAS?; cf. ég. Conseil d'Etat du canton de Fribourg, réponse du 7 mai 2018 à un instrument parlementaire 2018-CE-70). Partant, les conclusions de l'expertise de la clinique D.________ ne sauraient, en l'état, être suivies mais devraient, à tout le moins, être confirmées par les autres pièces au dossier. 4.2. Cependant, ces autres pièces ne permettent pas à la Cour d'examiner, de manière exhaustive et convaincante, l'état de santé de la recourante ainsi que de se déterminer sur les éventuelles répercussions négatives de celui-ci sur sa capacité de travail. En effet, si l'expertise de C.________ semble a priori concluante, l'experte-psychiatre a, après demande de l'assurance perte de gain, indiqué que ses conclusions ne pouvaient pas être modifiées sur la base du rapport D.________ et qu'il était nécessaire d'avoir une nouvelle évaluation de la situation "dans son ensemble, aussi bien psychiatrique qu'orthopédique, ainsi que l'importance d'une analyse des diagnostics au cumul les uns des autres d'un point de vue psychique" (pièce absente du dossier de l'OAI mais citée dans l'expertise D.________, dossier OAI, p. 179). De l'aveu même de ses rédacteurs, les conclusions de l'expertise C.________ ne semblent dès lors plus actuelles. Pour leur part, les médecins traitants s'écartent des conclusions des expertises sans pour autant que leurs rapports ne soient suffisamment convaincants pour permettre à la Cour de statuer. Par exemple, sur le plan psychique, l'on constate des différences d'ordre diagnostique entre les médecins de C.________ (dossier OAI, p. 336) et les thérapeutes en charge de la recourante, le Dr F.________, spécialiste en psychiatrie et psychothérapie, et G.________, psychologue FSP (rapports des 21 mars 2014, 27 mars 2015 et 8 août 2015, dossier OAI, p. 138, 269 et 360; cf. ég. p. 99, 161, 249, 306 et 353). De même, ces derniers affirment que, "malgré un traitement</w:t>
      </w:r>
    </w:p>
    <w:p>
      <w:r>
        <w:t>Tribunal cantonal TC Page 7 de 8 médicamenteux adapté et une compliance de la patiente, les symptômes dépressifs restent persistants", alors que les médecins de C.________ prévoyaient que, "grâce au traitement, une reprise progressive [était] envisageable d'ici deux à trois mois". 4.3. Au vu de l'ensemble de ce qui précède, les mesures d'instruction diligentées sont insuffisantes pour permettre à la Cour de statuer. Ainsi que l'a confirmé la jurisprudence récente du Tribunal fédéral (cf. arrêt TF 9F_5/2018 du 16 août 2018 consid. 3.1), un renvoi à l’assureur – charge à ce dernier de compléter l'instruction sur le plan médical, en mettant en œuvre une expertise indépendante, puis statuer à nouveau – est justifié en présence de doutes entachant la confiance qui peut être placée dans l'expertise de la clinique D.________. 5. Bien fondé, le recours doit ainsi être admis. La décision attaquée est annulée et le dossier renvoyé à l'autorité intimée pour mesures d'instruction complémentaires et nouvelle décision. Compte tenu de l'issue du litige, il convient de condamner l'autorité intimée qui succombe à des frais de procédure par CHF 800.-. L'avance de frais effectuée par la recourante, à raison de CHF 800.-, lui est restituée. Ayant obtenu gain de cause, la recourante a droit à l'octroi d'une indemnité de partie pour ses frais de défense. Par courrier du 6 septembre 2018, son mandataire a fait parvenir sa liste de frais, d'un montant total de CHF 5'965.05, soit CHF 4'241.65 au titre des honoraires (1'010 minutes au tarif horaire de CHF 250.-), CHF 127.50 (255 photocopies à 50 centimes), CHF 106.30 au titre des débours, CHF 354.30 au titre de la TVA (8% et 7.7%) et CHF 1'135.30 au titre d'émoluments (non soumis à la TVA). La liste de frais produite n'apparaît cependant pas conforme aux exigences du tarif cantonal du 17 décembre 1991 des frais de procédure et des indemnités en matière de juridiction administrative (Tarif JA, RSF 150.12). En particulier, elle tient compte d'un coût des photocopies de 50 centimes, du montant de CHF 800.- consacré à l'avance de frais ainsi que de frais forfaitaires de constitution de dossier trop élevés. Enfin, il n'est pas nécessaire d'indemniser le recourant pour les rapports médicaux produits en cours de procédure (montant de CHF 335.30), ceux-ci n'ayant eu aucune incidence sur le présent litige. Partant, l'indemnité de partie est fixée à un montant total de CHF 4'874.42, ce qui correspond, s'agissant des opérations antérieures au 31 décembre 2017, à CHF 3'062.50 au titre d'honoraires (12 heures à CHF 250.-), CHF 117.20 au titre de frais (dont CHF 80.40 pour les photocopies à CHF 0.40) et CHF 297.90 au titre de la TVA (8.%), ainsi que, pour les opérations postérieure au 1er janvier 2018, à CHF 1'179.17 au titre d'honoraires (5 heures à CHF 250.-), CHF 69.80 au titre de frais (dont CHF 15.80 pour les photocopies à CHF 0.40) et CHF 147.85 au titre de la TVA (7.7%). Ce montant est intégralement mis à la charge de l'autorité intimée qui succombe.</w:t>
      </w:r>
    </w:p>
    <w:p>
      <w:r>
        <w:t>Tribunal cantonal TC Page 8 de 8 la Cour arrête: I. Le recours est admis. Partant, la décision est annulée et le dossier renvoyé à l'autorité intimée pour mesures d'instruction complémentaires dans le sens des considérants. II. Les frais de procédure, par CHF 800.-, sont mis à la charge de l'autorité intimée; l'avance de frais du même montant versée par la recourante lui est restituée. III. L'indemnité de partie allouée à la recourante pour ses frais de défense est fixée à CHF 4'874.42, dont CHF 445.75 au titre de la TVA (8% et 7.7%),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octobre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