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113 vom 22. November 2017</w:t>
      </w:r>
    </w:p>
    <w:p>
      <w:r>
        <w:t>FR Kantonsgericht, 2017-11-22, FR</w:t>
      </w:r>
    </w:p>
    <w:p>
      <w:r>
        <w:rPr>
          <w:b/>
        </w:rPr>
        <w:t xml:space="preserve">Quelle: </w:t>
      </w:r>
      <w:r>
        <w:t>https://mcp.opencaselaw.ch/entscheid/fr_gerichte_608_2017_113</w:t>
      </w:r>
    </w:p>
    <w:p>
      <w:r>
        <w:t>FR: FR_GERICHTE 608 2017 113 du 22 novembre 2017</w:t>
      </w:r>
    </w:p>
    <w:p>
      <w:r>
        <w:t>IT: FR_GERICHTE 608 2017 113 del 22 novembre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 que la jurisprudence admet la possibilité de se référer aux données statistiques, telles qu'elles résultent de l'enquête sur la structure des salaires (ESS) publiée par l'Office fédéral de la</w:t>
      </w:r>
    </w:p>
    <w:p>
      <w:r>
        <w:t>Tribunal cantonal TC Page 4 de 10 statistique (ATF 126 V 76 consid. 3b/aa et bb). On se réfère alors à la statistique des salaires bruts standardisés, en se fondant toujours sur la médiane ou valeur centrale (ATF 124 V 323 consid. 3b/bb). Toutefois,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3</w:t>
      </w:r>
    </w:p>
    <w:p>
      <w:r>
        <w:t>a) Le taux d'invalidité étant une notion juridique fondée sur des éléments d'ordre essentiellement économique, et pas une notion médicale, il ne se confond donc pas forcément avec le taux de l'incapacité fonctionnelle qu'il importe d'évaluer (ATF 122 V 418).</w:t>
      </w:r>
    </w:p>
    <w:p>
      <w:r>
        <w:t>Tribunal cantonal TC Page 5 de 10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t>Tribunal cantonal TC Page 6 de 10</w:t>
      </w:r>
    </w:p>
    <w:p>
      <w:r>
        <w:rPr>
          <w:b/>
        </w:rPr>
        <w:t>E. 4</w:t>
      </w:r>
    </w:p>
    <w:p>
      <w:r>
        <w:t>Le litige porte sur l’évolution du taux d'invalidité de la recourante et, particulièrement, sur l’évolution de sa capacité de travail résiduelle. En d'autres termes, il sied de vérifier si son état de santé s'est ou non modifié au point de devoir améliorer sa capacité de gain. Initialement, les médecins de F.________ qui suivaient la recourante depuis 2007, en particulier le Dr G.________ et le Dr H.________, tous deux spécialistes FMH en chirurgie orthopédique et traumatologie de l'appareil locomoteur, considéraient que leur patiente était en mesure d'exercer une activité adaptée à un taux de 70-80% (dossier OAI, p. 122). Cependant, à l'époque, les deux médecins ont été régulièrement amenés à réaliser des opérations des deux hanches. Cela amène la Dresse I.________, spécialiste FMH en médecine du travail, à considérer l'assurée comme totalement incapable de travailler en raison de ces interventions (dossier OAI, p. 321 et 373). C'est ce qui conduit l'OAI à reconnaitre à la recourante le droit à une rente entière depuis le 1er février 2007 (dossier OAI, p. 304 et 313). Par la suite, les médecins relèvent la persistance des plaintes douloureuses de leur patiente, tant du côté droit que du côté gauche (dossier OAI, p. 260, 278ss, 300, 333ss). Ils ne donnent cependant pas d'information s'agissant de la capacité de travail. Sur conseil de la Dresse I.________ qui a relevé cette problématique, l'OAI a dès lors diligenté une expertise auprès du Dr C.________. Dans son rapport du 29 mars 2010, celui-ci a diagnostiqué un "conflit fémoro-acétabulaire bilatéral sur status après correction chirurgicale à droite en 2007". Il a fait état de sa perplexité quant à l'importance du syndrome douloureux présenté, estimant peu vraisemblable que l'assurée souffre d'un trouble somatoforme. Selon lui, il ne faisait "aucun doute qu'aucune activité, même adaptée, n'[était] exigible de cette jeune femme". En particulier, il a relevé qu'elle ne pouvait pas maintenir longtemps une attitude posturale, qu'elle devait fréquemment se coucher et se reposer et qu'elle se déplaçait très difficilement. Enfin, il a conclu à la mise sur pied d'une expertise pluridisciplinaire en cas d'échec des mesures thérapeutiques alors proposées par les médecins traitants (dossier OAI, p. 247). Suite à cette expertise, l'OAI a maintenu la rente entière octroyée à son assurée par communication du 30 mars 2010 (dossier OAI, p. 244). Cette communication constitue le point de départ temporel. Il s'agit en effet de la dernière décision entrée en force qui repose sur un examen matériel du droit à la rente.</w:t>
      </w:r>
    </w:p>
    <w:p>
      <w:r>
        <w:rPr>
          <w:b/>
        </w:rPr>
        <w:t>E. 5</w:t>
      </w:r>
    </w:p>
    <w:p>
      <w:r>
        <w:t>Il convient ainsi d'examiner si l'état de santé de la recourante s'est amélioré depuis lors comme le soutient l'autorité intimée dans sa décision du 12 avril 2017 ici litigieuse. La Cour retient d'emblée que la recourante ne souffre d'aucune problématique psychique invalidante, ses plaintes étant exclusivement d'ordre somatique. Sur cette question, l'expertise du Dr E.________ est sans équivoque et les conclusions de l'expert-psychiatre ne sont pas contestées (dossier OAI, p. 115). On constate au demeurant que la recourante n'est ni suivie par un psychiatre ni au bénéfice d'un traitement médicamenteux d'ordre psychiatrique. La problématique est exclusivement somatique. a) Dans son rapport d'expertise du 20 décembre 2016, le Dr D.________ fait état de trois diagnostics invalidants, soit des "douleurs persistantes des deux hanches", un "status après conflit</w:t>
      </w:r>
    </w:p>
    <w:p>
      <w:r>
        <w:t>Tribunal cantonal TC Page 7 de 10 fémoro-acétabulaire type Pincer sur coxa-profunda bilatérale, traité chirurgicalement" et une "coxarthrose débutante à gauche". Il retient que les anciens métiers exercés par la recourante ne sont plus adaptés à son état de santé, seul un travail sédentaire, avec alternance des positions et ne nécessitant que de courts déplacements à plat étant exigible. Selon lui, une telle activité pouvait être exercée depuis juin 2012 – soit trois mois après la dernière opération – à un taux de 50%. Cette diminution de 50% est justifiée par les douleurs et la nécessité de changer régulièrement de position. Pour rédiger son rapport, l'expert s'est fondé sur le dossier assécurologique, les documents radiologiques amenés par l'assurée ainsi que de nouvelles imageries médicales qu'il a réalisées. Lors d'un entretien d'une heure et demie, l'expert a également eu l'occasion de procéder à l'examen médical de la recourante. Pour sa part, cette dernière a été en mesure de décrire ses douleurs – localisées au pli de l'aine des deux côtés – et ses limitations – par exemple dans les déplacements ou en cas de situation statique prolongée, tant assise que debout – à l'expert, lequel les a dûment prises en compte. Ce dernier a procédé à une analyse claire et circonstanciée de la situation médicale. L'expert a procédé à une étude détaillée des points litigieux et a bien motivé ses conclusions. Ainsi, s'agissant notamment de la capacité de travail d'une assurée n'ayant plus travaillé depuis l'année 2000, il relève que "l'incapacité de travail de [la recourante] est due à son appréciation subjective de la symptomatologie douloureuse […]. Ce sont surtout les conditions psychosociales et le handicap ressenti par le patient [sic] qui sont déterminants dans l'évaluation de la reprise d'une activité professionnelle [d']avantage que les lésions anatomo-structurelles objectivables". A son avis, les problèmes de hanche "font qu'elle ne peut exercer qu'une activité parfaitement adaptée […]". Dès lors que le rapport d'expertise est en tous points conformes aux réquisits jurisprudentiels, il a en soi pleine valeur probante. L'autorité intimée était en droit de se baser sur cette analyse pour conclure à une amélioration de l'état de santé de la recourante. b) Reste à examiner si, comme le prétend la recourante, l'expert à uniquement procédé à une appréciation différente d'une situation demeurée globalement inchangée. A titre liminaire, la Cour retient que les troubles d'ordre neurologique nouvellement diagnostiqués ne sauraient attester d'une péjoration de son état de santé. Force est de constater que ceux-ci – pour l'essentiel une dyslexie développementale – étaient déjà présents durant l'enfance. Quant à l'augmentation des troubles attentionnels évoquée par le neurologue qui cite la recourante, celle-ci s'est faite de manière imperceptible durant ces dernières années (cf. dossier OAI, p. 46ss). Cela étant, l'évolution de l'état de santé a fait l'objet de questions spécifiques au Dr D.________. Celui-ci a expressément constaté que "l'état de santé de [la recourante] s'est amélioré". Selon lui, "lors de l'expertise effectuée par le Dr C.________, en mars 2010, il décrit que l'assurée avait des douleurs insupportables au cours de la journée. Les douleurs étaient présentes la nuit et elles étaient aggravées pour toutes les attitudes posturales prolongées même en position couchée. En 2011 et 2012, elle a été opérée à la hanche gauche avec une amélioration partielle de sa symptomatologie douloureuse. Elle n'a plus de douleurs couchée". Dans son expertise, le Dr D.________ explique ainsi les motifs l'ayant conduit à s'éloigner des conclusions du Dr C.________, soit une diminution globale des douleurs.</w:t>
      </w:r>
    </w:p>
    <w:p>
      <w:r>
        <w:t>Tribunal cantonal TC Page 8 de 10 La comparaison des expertises permet effectivement de constater l'existence d'une amélioration. Par exemple, au Dr C.________, la recourante se plaignait que les douleurs devenaient "insupportables en cours de journée obligeant l'assurée à se coucher ou se reposer[,] elles [étaient] aussi présentes la nuit, car elles [étaient] aggravées par toutes les attitudes posturales prolongées". Par contre, au Dr D.________, la recourante indique que "les douleurs sont d'intensité variable allant de 3 à 5 sur une échelle de 10 à l'échelle visuelle. Elle n'a pas de douleurs lorsqu'elle est couchée". Sur le plan des plaintes, la situation est donc passée de douleurs insupportables dans toutes les positions à des douleurs moyennes dans les positions assises ou debout. On peut aussi constater que s'agissant de l'examen des membres inférieurs, le Dr C.________ affirmait que "la démarche s'effectu[ait] de façon très précautionneuse, à petits pas, avec une boiterie de Duchenne bilatérale". En 2016, le Dr D.________ constate certes l'existence d'une forte "boiterie de Duchenne bilatérale", mais que l'assurée se déplace désormais "en charge complète". En comparaison avec la précédente expertise, la mobilité articulaire des hanches présente des valeurs plus élevées tant en flexion/extension qu'en abduction/adduction et en rotation. La comparaison des constats médicaux permet ainsi de confirmer que l'évaluation du Dr D.________ ne constitue pas, comme le prétend la recourante, une appréciation différente d'une situation inchangée depuis l'expertise du Dr C.________. L'avis du Dr H.________, médecin traitant, ne met pas en cause ce constat. On le rappelle, suite aux opérations effectuées en 2011 et 2012, le médecin retient l'existence d'une amélioration des douleurs du côté gauche ("einer gewissen Besserung"); il changera toutefois rapidement de discours et soutiendra que les opérations effectuées n'ont pas sensiblement modifié les plaintes (les opérations de ces deux dernières années "haben nicht zu einer wesentlichen Beschwerdeänderung geführt"). Dans ses rapports les plus récents, il indique ainsi que "die Situation der Beschwerden ist stabil. D.h. es hat weder eine Besserung noch Verschlechterung stattgefunden" (dossier OAI, p. 78, 112, 194, 218 et 233; cf. ég. p. 226 et 228). Certes, le médecin atteste de l'absence de modification dans l'état de santé. On ne saurait cependant ignorer que son évaluation se base presque entièrement sur les plaintes de sa patiente, alors même qu'il admet ignorer les raisons objectives à la persistance des douleurs. En outre, on peut rappeler que, selon la jurisprudence constante, de par sa position de confident privilégié que lui confère son mandat, le médecin traitant tranchera dans le doute en faveur de son patient (cf. ATF 125 V 352 consid. 3 b/cc et les références). A cet égard, on peut relever que le Dr C.________ avait déjà considéré que les rapports du médecin traitant ne faisaient que relayer les dires de la recourante. L'avis du Dr J.________, spécialiste FMH en médecine interne générale, du SMR, est, pour sa part, uniquement fondé sur les rapports du Dr H.________. Il ne saurait convaincre. Dans de telles circonstances, il y a lieu d’attacher plus de poids à l’opinion motivée du Dr D.________. c) De l'ensemble des éléments qui précèdent, on peut en déduire que l'atteinte à la santé s'est améliorée au point de ne plus justifier le versement d'une rente entière, la capacité de travail de la recourante étant désormais de 50% dans une activité adaptée.</w:t>
      </w:r>
    </w:p>
    <w:p>
      <w:r>
        <w:t>Tribunal cantonal TC Page 9 de 10</w:t>
      </w:r>
    </w:p>
    <w:p>
      <w:r>
        <w:rPr>
          <w:b/>
        </w:rPr>
        <w:t>E. 6</w:t>
      </w:r>
    </w:p>
    <w:p>
      <w:r>
        <w:t>La recourante requiert que le salaire d'invalide (CHF 27'004.10) soit réduit de 15% afin de prendre en compte ses limitations ainsi que le fait qu'elle ne peut occuper qu'un poste à mi-temps. Toutefois, les limitations fonctionnelles sont justement prises en compte par la réduction de 50% du salaire statistique. En outre, la lecture de l'expertise du Dr D.________ montre que l'activité retenue se rapporte à une activité professionnelle exercée à plein temps, l'expert faisant implicitement état d'une diminution du rendement liée à la douleur et aux changements de positions (cf. ég. arrêt TF 9C_34/2016 du 14 septembre 2016 consid. 3.1). Enfin, l'on peut rappeler que, selon une jurisprudence qui n'a, à ce jour, pas été encore mise en cause, le critère d'un taux d'occupation réduit ne revêt que peu d'importance dans le cas des femmes employées à temps partiel (arrêt TF 8C_379/2011 du 26 août 2011 consid. 4.2.2; cf. ég. 8C_878/2014 du 27 janvier 2015 consid. 5.2.5). La Cour peut donc se rattacher au revenu d'invalide (CHF 27'004.10) et au degré d'invalidité de 52% découlant de sa comparaison avec le revenu de valide (CHF 56'811.60), lequel n'a pas été contesté. C'est dès lors à juste titre que l'OAI a réduit les prestations versées et remplacé la rente entière versée jusqu'alors par une demi-rente.</w:t>
      </w:r>
    </w:p>
    <w:p>
      <w:r>
        <w:rPr>
          <w:b/>
        </w:rPr>
        <w:t>E. 7</w:t>
      </w:r>
    </w:p>
    <w:p>
      <w:r>
        <w:t>Ceci dit, à la lecture du présent dossier, la Cour constate qu'aucune suite n'a formellement été donnée à la requête d'allocation pour impotent déposée le 28 février 2007. La recourante y faisait pourtant état de son besoin à une aide régulière d'un tiers dans plusieurs actes ordinaires de la vie tels que se vêtir, se laver et se déplacer (dossier OAI, p. 416). Par la suite, elle a également indiqué à plusieurs reprises avoir engagé de l'aide pour ses tâches quotidiennes (dossier OAI, p. 201, 235, 293ss, 411). Dans le recours devant l'instance céans, elle rappelle même avoir besoin d'aide pour se déplacer ainsi que pour entretenir des contacts sociaux et précise avoir engagé une femme de ménage pour l'aider dans ses tâches quotidiennes (cf. not. n° 39 p. 11). Or, alors même que certaines mesures d'instruction avaient été diligentées en 2007 – les médecins ayant notamment été explicitement interrogés à ce sujet (dossier OAI, p. 271, 300, 321, 356) – aucune décision formelle n'a encore été rendue à ce sujet. Quand bien même la recourante ne lui en a manifestement pas encore tenu rigueur, il appartiendra à l'OAI de combler rapidement cette lacune.</w:t>
      </w:r>
    </w:p>
    <w:p>
      <w:r>
        <w:rPr>
          <w:b/>
        </w:rPr>
        <w:t>E. 8</w:t>
      </w:r>
    </w:p>
    <w:p>
      <w:r>
        <w:t>Au vu de l'ensemble de ce qui précède, le recours, mal fondé, doit être rejeté et la décision contestée confirmée. Les frais de justice, fixés à CHF 800.-, sont mis à la charge de la recourante. Ils sont toutefois compensés avec l'avance effectuée par cette dernière du même montant. Il n'est pas alloué de dépens.</w:t>
      </w:r>
    </w:p>
    <w:p>
      <w:r>
        <w:t>Tribunal cantonal TC Page 10 de 10 la Cour arrête: I. Le recours est rejeté. II. Les frais de justice, fixés à CHF 800.-, sont mis à la charge de la recourante. Ils sont compensés avec l'avance de frais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