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103 vom 26. April 2018</w:t>
      </w:r>
    </w:p>
    <w:p>
      <w:r>
        <w:t>FR Kantonsgericht, 2018-04-26, FR</w:t>
      </w:r>
    </w:p>
    <w:p>
      <w:r>
        <w:rPr>
          <w:b/>
        </w:rPr>
        <w:t xml:space="preserve">Quelle: </w:t>
      </w:r>
      <w:r>
        <w:t>https://mcp.opencaselaw.ch/entscheid/fr_gerichte_608_2017_103</w:t>
      </w:r>
    </w:p>
    <w:p>
      <w:r>
        <w:t>FR: FR_GERICHTE 608 2017 103 du 26 avril 2018</w:t>
      </w:r>
    </w:p>
    <w:p>
      <w:r>
        <w:t>IT: FR_GERICHTE 608 2017 103 del 26 aprile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et dûment représenté,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w:t>
      </w:r>
    </w:p>
    <w:p>
      <w:r>
        <w:rPr>
          <w:b/>
        </w:rPr>
        <w:t>E. 3</w:t>
      </w:r>
    </w:p>
    <w:p>
      <w:r>
        <w:t>a)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Tel est le cas lorsque la capacité de travail s'améliore</w:t>
      </w:r>
    </w:p>
    <w:p>
      <w:r>
        <w:t>Tribunal cantonal TC Page 4 de 11 grâce à une accoutumance ou à une adaptation au handicap (ATF 141 V 9 consid. 2.3 et les références citées).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w:t>
      </w:r>
    </w:p>
    <w:p>
      <w:r>
        <w:rPr>
          <w:b/>
        </w:rPr>
        <w:t>E. 7</w:t>
      </w:r>
    </w:p>
    <w:p>
      <w:r>
        <w:t>Au vu de l'ensemble de ce qui précède, le recours, mal fondé, doit être rejeté et la décision du 28 mars 2017 confirmée. Les frais de justice, fixés à CHF 800.-, sont mis à la charge du recourant. Ils sont toutefois compensés avec l'avance du même montant effectuée par ce dernier. Au vu de l'issue du recours, il n'est pas alloué de dépens. la Cour arrête: I. Le recours est rejeté. II. Les frais de procédure, par CHF 800.-, sont mis à la charge du recourant. Ils sont compensés par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avril 2018/mba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