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97 vom 2. Mai 2017</w:t>
      </w:r>
    </w:p>
    <w:p>
      <w:r>
        <w:t>FR Kantonsgericht, 2017-05-02, FR</w:t>
      </w:r>
    </w:p>
    <w:p>
      <w:r>
        <w:rPr>
          <w:b/>
        </w:rPr>
        <w:t xml:space="preserve">Quelle: </w:t>
      </w:r>
      <w:r>
        <w:t>https://mcp.opencaselaw.ch/entscheid/fr_gerichte_608_2016_97</w:t>
      </w:r>
    </w:p>
    <w:p>
      <w:r>
        <w:t>FR: FR_GERICHTE 608 2016 97 du 2 mai 2017</w:t>
      </w:r>
    </w:p>
    <w:p>
      <w:r>
        <w:t>IT: FR_GERICHTE 608 2016 97 del 2 maggio 2017</w:t>
      </w:r>
    </w:p>
    <w:p>
      <w:pPr>
        <w:pStyle w:val="Heading2"/>
      </w:pPr>
      <w:r>
        <w:t>Regeste</w:t>
      </w:r>
    </w:p>
    <w:p>
      <w:r>
        <w:t>Arrêt de la IIe Cour des assurances sociales du Tribunal cantonal | Ergänzungsleistungen</w:t>
      </w:r>
    </w:p>
    <w:p>
      <w:pPr>
        <w:pStyle w:val="Heading2"/>
      </w:pPr>
      <w:r>
        <w:t>Erwägungen</w:t>
      </w:r>
    </w:p>
    <w:p>
      <w:r>
        <w:rPr>
          <w:b/>
        </w:rPr>
        <w:t>E. 19</w:t>
      </w:r>
    </w:p>
    <w:p>
      <w:r>
        <w:t>novembre 2009); que, compte tenu de la liste de frais déposée par dite mandataire en date du 5 janvier 2017, il se justifie de fixer l'équitable indemnité de partie à laquelle ils ont droit à CHF 1'222.-, à raison de 9.40h à CHF 130.-, plus CHF 43.60 au titre de débours et CHF 101.25 au titre de la TVA à 8%, soit un total de CHF 1'366.85, laquelle est mise intégralement à la charge de l'autorité intimée; la Cour arrête: I. Le recours est admis. II. Il n'est pas perçu de frais de justice. III. Il est alloué aux recourants une indemnité de partie fixée à CHF 1'222.-, plus CHF 43.60 au titre de débours, plus CHF 101.25 au titre de TVA à 8%, soit à CHF 1'366.85. Cette indemnité est mise dans son intégralité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mai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