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84 vom 10. März 2017</w:t>
      </w:r>
    </w:p>
    <w:p>
      <w:r>
        <w:t>FR Kantonsgericht, 2017-03-10, FR</w:t>
      </w:r>
    </w:p>
    <w:p>
      <w:r>
        <w:rPr>
          <w:b/>
        </w:rPr>
        <w:t xml:space="preserve">Quelle: </w:t>
      </w:r>
      <w:r>
        <w:t>https://mcp.opencaselaw.ch/entscheid/fr_gerichte_608_2016_84</w:t>
      </w:r>
    </w:p>
    <w:p>
      <w:r>
        <w:t>FR: FR_GERICHTE 608 2016 84 du 10 mars 2017</w:t>
      </w:r>
    </w:p>
    <w:p>
      <w:r>
        <w:t>IT: FR_GERICHTE 608 2016 84 del 10 marzo 2017</w:t>
      </w:r>
    </w:p>
    <w:p>
      <w:pPr>
        <w:pStyle w:val="Heading2"/>
      </w:pPr>
      <w:r>
        <w:t>Regeste</w:t>
      </w:r>
    </w:p>
    <w:p>
      <w:r>
        <w:t>Arrêt de la IIe Cour des assurances sociales du Tribunal cantonal | Ergänzungsleistungen</w:t>
      </w:r>
    </w:p>
    <w:p>
      <w:pPr>
        <w:pStyle w:val="Heading2"/>
      </w:pPr>
      <w:r>
        <w:t>Erwägungen</w:t>
      </w:r>
    </w:p>
    <w:p>
      <w:r>
        <w:rPr>
          <w:b/>
        </w:rPr>
        <w:t>E. 18</w:t>
      </w:r>
    </w:p>
    <w:p>
      <w:r>
        <w:t>juin 2015, l'assuré a annoncé à la Caisse que son épouse avait commencé à travailler auprès de B.________ le 27 avril 2015. Il a par la suite précisé que le salaire mensuel se montait à CHF 3'000.-, sans cotisations sociales. Par décision du 15 octobre 2015, la Caisse a réduit les prestations complémentaires à CHF 822.-, uniquement au titre de réduction des primes d'assurance-maladie. Elle a également requis la restitution d'un montant de CHF 6'888.- pour les prestations complémentaires octroyées entre le 1er mai 2015 et le 31 octobre 2015. Cette décision a été confirmée sur opposition le 18 novembre 2015. Aucun recours n'a été interjeté contre cette décision. D. Le 8 janvier 2016, l'assuré a demandé la remise de l'obligation de restituer, alléguant que sa situation financière était précaire et qu'il avait perçu les CHF 6'888.- de bonne foi, la Caisse n'ayant pas immédiatement cessé ses paiements une fois informée que son épouse avait un emploi. Par décision du 2 février 2016, confirmée sur opposition le 9 mars 2016, la demande de remise a été rejetée, la condition de la bonne foi n'étant pas remplie. E. Contre cette décision, l'assuré, représenté par CAP Protection Juridique SA, interjette recours devant le Tribunal cantonal le 14 avril 2016 concluant, avec suite de frais et dépens, principalement, à ce qu'il soit intégralement libéré de son obligation de restituer CHF 6'888.-, subsidiairement, au renvoi de la cause à l'autorité intimée pour nouvelle décision. A l'appui de ses conclusions, le recourant affirme qu'en l'absence de réaction de la Caisse durant plus de six mois, il pouvait tout à fait croire qu'après analyse de sa situation, il avait toujours droit à des prestations complémentaires. Il indique à cet égard que l'absence de réaction de la Caisse a suscité une confiance de sa part, que le salaire extrêmement bas perçu par son épouse n'a fait que confirmer. Dans une telle situation, il estime qu'on peut tout au plus lui reprocher une faute</w:t>
      </w:r>
    </w:p>
    <w:p>
      <w:r>
        <w:t>Tribunal cantonal TC Page 3 de 6 légère, de sorte que la remise doit être admise, sa situation financière précaire n'étant pas contestée. F. Dans ses observations du 6 mai 2016, la Caisse propose le rejet du recours. Renvoyant essentiellement à la décision litigieuse, elle souligne que le recourant avait connaissance des délais nécessaires au traitement d'un dossier. Elle lui reproche aussi – en substance – d'être contradictoire dès lors qu'il ne fait aucun reproche lorsqu'il se voit octroyer des prestations de manière rétroactive. G. Il n'a pas été procédé à un second échange d'écritures.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a) D'après l'art. 25 al. 1 1ère phrase de la loi du 6 octobre 2000 sur la partie générale du droit des assurances sociales (LPGA; RS 830.1),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précité consid. 5.2). b) Selon l'art. 25 al. 1 2e phrase LPGA, l'assuré concerné peut demander la remise de l'obligation de restituer, lorsque la restitution des prestations allouées indûment, mais reçues de bonne foi, mettrait l'intéressé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c)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w:t>
      </w:r>
    </w:p>
    <w:p>
      <w:r>
        <w:t>Tribunal cantonal TC Page 4 de 6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 d) Selon l'art. 31 al. 1 LPGA, l'ayant droit, ses proches ou les tiers auxquels une prestation est versée sont tenus de communiquer à l'assureur ou, selon le cas, à l'organe compétent toute modification importante des circonstances déterminantes pour l'octroi d'une prestation. Cet article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La violation du devoir d'informer et d'annoncer constitue la forme la plus courante, mais néanmoins pas unique, de comportement fautif excluant la bonne foi. Si une personne a avisé la caisse de faits déterminants pour un nouveau calcul de la prestation, elle ne peut pas invoquer sa bonne foi pour la période que l’assureur utilise pour traiter le changement de la base de calcul. La limite ne peut être que celle de l’année dont dispose la caisse avant que les prestations indues ne soient périmées (cf. arrêt TC FR 605 2012 420 du 19 mai 2014 consid. 4; arrêt TF 9C_496/2014 du</w:t>
      </w:r>
    </w:p>
    <w:p>
      <w:r>
        <w:rPr>
          <w:b/>
        </w:rPr>
        <w:t>E. 22</w:t>
      </w:r>
    </w:p>
    <w:p>
      <w:r>
        <w:t>octobre 2014 consid. 4.1). 3. Le recours porte exclusivement sur la remise de l'obligation de restituer le montant relatif aux prestations complémentaires pour les mois mai à octobre 2015. Une telle remise est soumise à la double condition de la bonne foi et de l’existence d’une situation difficile en cas de restitution. En l'espèce, seule la condition de la bonne foi est litigieuse. Le recourant a averti l'autorité intimée du changement de sa situation d'abord en juin 2015 (cf. courrier du 18 juin 2015 faisant état d'un entretien du 15 juin 2015) et lui a transmis par la suite les documents pertinents tels qu'une copie du contrat de travail et des bulletins de salaire. Quand bien même cette annonce a été faite plus d'un mois et demi après le début des rapports de travail,</w:t>
      </w:r>
    </w:p>
    <w:p>
      <w:r>
        <w:t>Tribunal cantonal TC Page 5 de 6 il ne lui a pas été reproché une violation de son devoir d'informer et d'annoncer. Cela ne saurait faire débat. Toutefois, on ne saurait déduire que la condition de la bonne foi du recourant est acquise du seul fait qu'il a procédé à cette annonce et transmis les documents utiles, que cela ait été fait de manière spontanée ou non (cf. courrier de la Caisse du 21 septembre 2015). Ces démarches sont imposées par la loi (cf. art. 31 al. 1 LPGA). En les faisant, il s'est seulement acquitté de son obligation légale d'annoncer toute modification des circonstances pouvant influencer son droit aux prestations complémentaires. Par contre, on peut lui reprocher de ne pas avoir voué l'attention nécessaire aux circonstances en continuant de percevoir des prestations complémentaires équivalentes alors même qu'il devait s'attendre, au vu du salaire perçu par son épouse, à ce que leur montant soit modifié. En effet, il ne fait pas de doute qu'il était conscient – et devait l'être – que le salaire perçu par son épouse pouvait influencer le montant des prestations complémentaires. Il a du reste annoncé cet événement à l'autorité intimé. Dès lors qu'il savait que ce changement pouvait avoir une influence sur le montant des prestations complémentaires, il ne pouvait pas ignorer que le versement de sommes identiques à celles perçues jusque-là s'avérait injustifié. Au demeurant, les feuilles de calcul relatives aux années 2013 à 2015, annexées aux décisions de prestations correspondantes, ne faisaient mention d'aucun revenu du chef de son épouse. Le recourant ne pouvait dès lors ignorer que l'arrivée au budget du ménage d'un revenu bien supérieur aux prestations complémentaires perçues jusqu'alors – soit à hauteur de CHF 3'000.- mensuellement au lieu de CHF 1'970.- (dont CHF 822.- au titre de réduction des primes d'assurance-maladie) – influencerait son droit aux dites prestations. Il ne peut, par conséquent, se prévaloir du manque de conscience d'agir contrairement au droit à compter du moment où les mêmes prestations ont continué à être versées avec un montant inchangé. La présence d'un délai de quatre mois entre l'annonce du 15 juin 2015 (cf. courrier du 18 juin 2015) et la décision de modification du 15 octobre 2015 n'y change rien. Cela est d'autant moins le cas que la procédure a été ralentie par le recourant qui, selon ses dires, n'a pas pu transmettre les documents rapidement à la Caisse dès lors qu'il "ne pouvait plus rien faire en attendant tous les documents qui devraient venir du Gouvernement C.________ pour être remis à mon épouse. Et comme vous le pensez peut-être, les administrations dans certains pays du monde ne fonctionnent pas aussi à merveille comme dans d'autres" (cf. courrier du 12 février 2016). Partant, la condition de la bonne foi n'est pas réalisée et la remise de l'obligation de restitution ne peut pas être accordée au recourant. Son recours se révèle donc mal fondé. 4. Sur le vu de l'ensemble des éléments qui précèdent, le recours, mal fondé, doit être rejeté et la décision sur opposition attaquée confirmée. En application du principe de la gratuite prévalant en la matière, cette décision est rendue sans frais de justice. Il n'est pas alloué de dépens.</w:t>
      </w:r>
    </w:p>
    <w:p>
      <w:r>
        <w:t>Tribunal cantonal TC Page 6 de 6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