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70 vom 14. Februar 2017</w:t>
      </w:r>
    </w:p>
    <w:p>
      <w:r>
        <w:t>FR Kantonsgericht, 2017-02-14, FR</w:t>
      </w:r>
    </w:p>
    <w:p>
      <w:r>
        <w:rPr>
          <w:b/>
        </w:rPr>
        <w:t xml:space="preserve">Quelle: </w:t>
      </w:r>
      <w:r>
        <w:t>https://mcp.opencaselaw.ch/entscheid/fr_gerichte_608_2016_70</w:t>
      </w:r>
    </w:p>
    <w:p>
      <w:r>
        <w:t>FR: FR_GERICHTE 608 2016 70 du 14 février 2017</w:t>
      </w:r>
    </w:p>
    <w:p>
      <w:r>
        <w:t>IT: FR_GERICHTE 608 2016 70 del 14 febbraio 2017</w:t>
      </w:r>
    </w:p>
    <w:p>
      <w:pPr>
        <w:pStyle w:val="Heading2"/>
      </w:pPr>
      <w:r>
        <w:t>Regeste</w:t>
      </w:r>
    </w:p>
    <w:p>
      <w:r>
        <w:t>Arrêt de la IIe Cour des assurances sociales du Tribunal cantonal | Invalidenversicherung</w:t>
      </w:r>
    </w:p>
    <w:p>
      <w:pPr>
        <w:pStyle w:val="Heading2"/>
      </w:pPr>
      <w:r>
        <w:t>Erwägungen</w:t>
      </w:r>
    </w:p>
    <w:p>
      <w:r>
        <w:rPr>
          <w:b/>
        </w:rPr>
        <w:t>E. 2</w:t>
      </w:r>
    </w:p>
    <w:p>
      <w:r>
        <w:t>Le recourant se plaint d'abord du fait que l'OAI n'a pas donné suite à sa requête du 16 mars 2016 tendant à la consultation de son dossier. Par ce biais, il se prévaut d'une violation de son droit d'être entendu. a)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Le droit de consulter le dossier en est un aspect (ATF 132 II 485 consid. 3.2). Selon la jurisprudence, il s'étend à toutes les pièces décisives figurant au dossier et garantit que les parties puissent prendre connaissance des éléments fondant la décision et s'exprimer à leur sujet (ATF 132 II 485 consid. 3.2; 129 I 85 consid. 4.1; 125 II 473 consid. 4c/cc; 121 I 225 consid. 2a). La garantie constitutionnelle de l'accès au dossier comprend le droit de consulter des pièces au siège de l'autorité, de prendre des notes et de faire des photocopies, pour autant qu'il n'en résulte pas un surcroît de travail excessif pour l'autorité (ATF 126 I 7 consid. 2b; 122 I 112 consid. 2b et les arrêts cités; cf. ATF 115 V 302 consid. 2e). La violation du droit d'être entendu – pour autant qu'elle ne soit pas d'une gravité particulière – est réparée lorsque la partie lésée a la possibilité de s'exprimer devant une autorité de recours</w:t>
      </w:r>
    </w:p>
    <w:p>
      <w:r>
        <w:t>Tribunal cantonal TC Page 4 de 10 jouissant d'un plein pouvoir d'examen (ATF 127 V 437consid. 3d/aa; 126 I 72; 126 V 132 consid. 2b et les références). b) Le 16 mars 2016, le recourant, par le biais de son mandataire nouvellement constitué a requis que son dossier lui soit transmis pour consultation. Ce n'est que le 6 avril 2016 – soit 20 jours plus tard – que l'autorité intimée a transmis le dossier au mandataire du recourant. En l'occurrence, la requête de consultation du dossier a été déposée à proximité de l'échéance du délai de recours. En présence d'un délai légal – qui ne pouvait pas être suspendu, interrompu ou prolongé – il appartenait à l'autorité intimée de transmettre le dossier à son assuré dans les plus brefs délais afin qu'il puisse sauvegarder son droit d'être entendu. A tout le moins, dans les circonstances très particulières d'espèce, l'office se devait-il d'inviter son assuré à venir consulter son dossier dans ses locaux si un délai raisonnable pour l'envoi ne pouvait pas être respecté. Cela n'a pas été fait. L'autorité intimée a mis plus de vingt jours pour transmettre le dossier alors même que le délai de recours continuait à s'écouler. Cela n'est pas acceptable, en particulier si l'on tient compte du fait que les dossiers AI sont aujourd'hui informatisés et transmis sous la forme de CD-ROMS gravés. On peut, à cet égard, relever que lors d'une précédente requête, alors même que les conséquences du non-respect d'un délai légal n'entraient pas considération, l'OAI avait transmis le dossier dans un délai nettement plus court (dossier OAI, pièces 145 et 148). Il y a, partant, violation du droit d'être entendu. c) Cela étant, en présence d'une violation du droit d'être entendu, la question qui se pose est celle de savoir si dite violation peut être réparée. A cet égard, la Cour relève qu'en l'espèce, la violation du droit d'être entendu ne peut pas être qualifiée de grave. En effet, on ne saurait oublier que le mandataire du recourant avait informé l'OAI que son étude serait fermée entre le 25 mars et le 3 avril 2016 (dossier OAI, pièce 172). A ce titre, l'OAI pouvait raisonnablement considérer qu'une transmission durant cette période n'était pas nécessaire ou souhaitée. En outre, le recourant possédait un exemplaire relativement récent de son dossier, transmis à son ancien mandataire dans le cadre de la procédure d'objection au projet de décision du 15 avril 2015 (dossier OAI, pièce 148). Par ce biais, il a été en mesure de contester la décision ici litigieuse. Enfin, on doit relever que le recourant aurait eu tout loisir de consulter le dossier de l'assurance-invalidité mis à disposition par le Tribunal cantonal, ce qui n'a pas été nécessaire dès lors qu'il s'est vu remettre entretemps un exemplaire directement par l'OAI. Dans un tel contexte, on doit admettre que conformément à la garantie du droit d’être entendu, le vice formel a été réparé devant la Cour des assurances sociales, qui possède un plein pouvoir d'examen.</w:t>
      </w:r>
    </w:p>
    <w:p>
      <w:r>
        <w:rPr>
          <w:b/>
        </w:rPr>
        <w:t>E. 3</w:t>
      </w:r>
    </w:p>
    <w:p>
      <w:r>
        <w:t>A teneur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w:t>
      </w:r>
    </w:p>
    <w:p>
      <w:r>
        <w:t>Tribunal cantonal TC Page 5 de 10 faisant preuve de bonne volonté; la mesure de ce qui est exigible doit être déterminée aussi objectivement que possible (art. 7 al. 2 2ème phrase LPGA; ATF 141 V 281 consid. 3.7.1; ATF 102 V 165; VSI 2001 p. 223 consid. 2b et les références; cf. aussi ATF 127 V 294 consid. 4c i. f.). La reconnaissance de l'existence d'une atteinte à la santé psychique, de troubles somatoformes douloureux persistants ou de fibromyalgie, suppose en particulier la présence d'un diagnostic émanant d'un expert (psychiatre) et s'appuyant selon les règles de l'art sur les critères d'un système de classification reconnu (ATF 141 V 281 consid. 2.1 et 2.1.1; ATF 130 V 396 consid. 5.3 et 6). Par contre,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(ATF 127 V 294 consid. 5a; arrêt TF I 797/06 du 21 août 2007 consid. 4).</w:t>
      </w:r>
    </w:p>
    <w:p>
      <w:r>
        <w:rPr>
          <w:b/>
        </w:rPr>
        <w:t>E. 4</w:t>
      </w:r>
    </w:p>
    <w:p>
      <w:r>
        <w:t>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b) La méthode ordinaire de comparaison des revenus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s’effectue, en règle générale, en chiffrant aussi exactement que possible les montants de ces deux revenus (RCC 1985 p. 469).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w:t>
      </w:r>
    </w:p>
    <w:p>
      <w:r>
        <w:t>Tribunal cantonal TC Page 6 de 10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w:t>
      </w:r>
    </w:p>
    <w:p>
      <w:r>
        <w:rPr>
          <w:b/>
        </w:rPr>
        <w:t>E. 7</w:t>
      </w:r>
    </w:p>
    <w:p>
      <w:r>
        <w:t>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5.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w:t>
      </w:r>
    </w:p>
    <w:p>
      <w:r>
        <w:t>Tribunal cantonal TC Page 7 de 10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Un rapport du SMR constitue un rapport au sens de l'art. 59 al. 2bis LAI (en corrélation avec l'art. 49 al. 1 du règlement du 17 janvier 1961 sur l'assurance-invalidité [RAI; RS 831.201]).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(cf. arrêt TF I 143/07 du 14 septembre 2007 consid. 3.3). c)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w:t>
      </w:r>
    </w:p>
    <w:p>
      <w:r>
        <w:t>Tribunal cantonal TC Page 8 de 10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6. Est litigieuse, la question de savoir si l'assuré peut prétendre à une rente de l'AI, laquelle dépend d'une appréciation médicale de son état de santé. Il n'est en l'espèce pas contesté que le recourant n'est plus en mesure d'exercer son ancienne profession de maçon. Par contre, dans la décision ici litigieuse, l'OAI soutient que son assuré est en mesure d'exercer une activité adaptée à temps plein mais avec un rendement diminué de 25%. Une telle activité doit être légère, sans port de charges de plus de 10 kg, sans position statique prolongée en porte-à-faux du rachis lombaire, sans exposition au froid, sans horaires irréguliers et permettant l'alternance des positions assises et debout. L'OAI se fonde en cela sur l'avis du Dr D.________, spécialiste FMH en anesthésiologie, du SMR. Force est néanmoins de constater que le médecin SMR procède à une lecture inexacte des rapports présents dans le dossier assécurologique (dossier OAI, pièces 118; cf. ég. rapport du</w:t>
      </w:r>
    </w:p>
    <w:p>
      <w:r>
        <w:rPr>
          <w:b/>
        </w:rPr>
        <w:t>E. 11</w:t>
      </w:r>
    </w:p>
    <w:p>
      <w:r>
        <w:t>novembre 2015, pièce 164). En effet, le médecin SMR – qui n’a pour sa part pas procédé à un examen sur la personne du recourant - indique que le "médecin traitant atteste une capacité de travail nulle dans l'activité habituelle […] de 75% dans une activité adaptée (plein temps avec un rendement de 75%). Cette appréciation du médecin traitant qui intègre l'ensemble des atteintes à la santé est médicalement cohérente" (dossier OAI, pièces 118; cf. ég. rapport du 11 novembre 2015, pièce 164). Or, le Dr E.________, généraliste, affirme non pas que la capacité de travail est de 75%, mais que la perte de rendement est de 75%. Ainsi, à la question "dans quelle mesure faut-il s'attendre à une diminution du rendement" le médecin répond d'abord "75%", puis "rendement 75%" (rapports du 2 septembre 2014 et du 6 novembre 2015, dossier OAI, pièces 115 et 163). Dans un autre rapport adressé à l'OAI mais ne figurant pas dans son dossier, le généraliste précise que "même en dehors d'une activité manuelle, le patient ne pourrait travailler plus de 2h par jour et dans des conditions optimisées" (rapport du 1er mai 2015, annexe aux contre-observations). En présence d'une telle erreur, qu'une comparaison entre les rapports du médecin traitant aurait d'emblée permis de détecter, l'avis du Dr D.________ – qui formait son appréciation uniquement sur les pièces du dossier - ne peut se voir reconnaître une quelconque valeur probante. On ne saurait non plus se baser sur les différents rapports du Dr E.________, celui-ci prenant manifestement aussi en compte des troubles psychiques. Le généraliste fait notamment état de l'existence d'un "syndrome dépressif moyen […] réactionnel en raison de sa situation sociale (absence de travail)" dans son rapport du 6 novembre 2015 (dossier OAI, pièce 163). Or, de jurisprudence constante, l'existence d'une atteinte à la santé psychique suppose la présence d'un diagnostic émanant d'un spécialiste en psychiatrie, ce que le généraliste n'est pas. On peut encore souligner que l'évaluation de la capacité de travail par le médecin traitant semble influencée par des facteurs socio-économiques lorsqu'il précise que son patient "n'a aucune qualification autre que ses qualifications manuelles. Un travail administratif aurait pu être envisagé sinon" (rapport du 2 septembre 2014, dossier OAI, pièce 115). De tels facteurs ne constituent pas des atteintes à la santé entraînant une incapacité de gain.</w:t>
      </w:r>
    </w:p>
    <w:p>
      <w:r>
        <w:t>Tribunal cantonal TC Page 9 de 10 Enfin, on ne peut pas s'appuyer sur les autres rapports médicaux présents au dossier, ceux-ci n'examinant pas de manière complète la question ici litigieuse de la capacité de travail. La Dresse F.________, spécialiste FMH en chirurgie, ne traite ainsi que de la capacité de travail dans l'ancienne activité (dossier OAI, pièce 111). Pour leurs parts, la Dresse G.________, spécialiste FMH en cardiologie, et la Dresse H.________, spécialiste FMH en médecine interne générale et en oncologie, renvoient au médecin traitant s'agissant de l'évaluation de la capacité de travail (dossier OAI, pièces 87, 103, 105 et 155). Enfin, le Dr I.________, spécialiste FMH en neurochirurgie, n'a examiné le recourant qu'une seule fois "pour un bref contact" de sorte que son avis ne semble pas particulièrement approfondi (dossier OAI, pièce 65). Il ressort de ce qui précède que plusieurs questions sont laissées ouvertes – voire n'ont pas fait l'objet de mesures d'instruction comme par exemple les troubles psychiques dont l'existence est évoquée par le médecin traitant – et il n'est pas possible de se déterminer sur la capacité de travail résiduelle du recourant. Dans la mesure où il n'appartient pas à la Cour de céans de combler de telles lacunes d'instruction, la cause doit être renvoyée à l'autorité intimée. Il lui appartiendra de mettre en œuvre les mesures d'instruction nécessaires avant de rendre une nouvelle décision. En raison du renvoi du dossier à l'autorité intimée pour complément d'instruction, la requête de débats publics devient sans objet, la cause étant manifestement bien fondée. 7. Dans ces circonstances, le recours, bien fondé, doit être admis et la décision attaquée annulée. La cause est renvoyée à l'autorité intimée pour instruction complémentaire et nouvelle décision. Compte tenu de l'issue du litige, il convient de condamner l'autorité intimée qui succombe à des frais de procédure par CHF 800.-. L'avance de frais effectuée par le recourant, à raison de CHF 800.-, lui est restituée. Ayant obtenu gain de cause, le recourant a droit à des dépens pour ses frais de défense. Le 22 décembre 2016, son mandataire a produit sa note d’honoraires et débours comptabilisant un montant de CHF 6'770.83 au titre des honoraires (1'625 minutes à CHF 250.-/heure), CHF 338.54 au titre des débours, CHF 568.- au titre de la TVA et CHF 800.- au titre de l'"avance de frais". Toutefois, la durée déterminante pour les honoraires (plus de 27 heures) dépasse ce qui est raisonnablement admis dans ce type de cas et n'est, en tous les cas, pas justifiée par la difficulté et la taille du présent dossier, même compte tenu de l'existence d'une violation du droit d'être entendu. L'avance de frais a, pour sa part, déjà été comptabilisée de manière séparée de sorte qu'il n'est pas nécessaire d'en tenir compte une seconde fois. Partant, il se justifie de fixer ex aequo et bono l'indemnité de partie à laquelle le recourant peut prétendre pour ses frais de défense à un montant global de CHF 4'600.- (18 heures à CHF 250.-), débours (CHF 100.-) compris, plus CHF 368.- au titre de la TVA à 8%, soit à hauteur d'un montant total de CHF 4'968.-. Ce montant est intégralement mis à la charge de l'autorité intimée.</w:t>
      </w:r>
    </w:p>
    <w:p>
      <w:r>
        <w:t>Tribunal cantonal TC Page 10 de 10 la Cour arrête: I. Le recours est admis et la décision attaquée annulée. Partant, la cause est renvoyée à l'autorité intimée pour instruction complémentaire et nouvelle décision. II. Il est alloué au recourant une indemnité de partie de CHF 4'600.-, débours compris, plus CHF 368.- au titre de la TVA, soit à hauteur d'un montant total de CHF 4'968.-, mis à la charge de l'autorité intimée. III. Les frais de procédure, par CHF 800.-, sont mis à la charge de l'autorité intimée. IV. L'avance de frais de CHF 800.- versée par le recourant lui est restituée.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février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