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64 vom 23. Mai 2017</w:t>
      </w:r>
    </w:p>
    <w:p>
      <w:r>
        <w:t>FR Kantonsgericht, 2017-05-23, FR</w:t>
      </w:r>
    </w:p>
    <w:p>
      <w:r>
        <w:rPr>
          <w:b/>
        </w:rPr>
        <w:t xml:space="preserve">Quelle: </w:t>
      </w:r>
      <w:r>
        <w:t>https://mcp.opencaselaw.ch/entscheid/fr_gerichte_608_2016_64</w:t>
      </w:r>
    </w:p>
    <w:p>
      <w:r>
        <w:t>FR: FR_GERICHTE 608 2016 64 du 23 mai 2017</w:t>
      </w:r>
    </w:p>
    <w:p>
      <w:r>
        <w:t>IT: FR_GERICHTE 608 2016 64 del 23 maggio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D'après l'art. 17 LPGA, si le taux d'invalidité du bénéficiaire de la rente subit une modification notable, la rente est, d'office ou sur demande, révisée pour l'avenir, à savoir augmentée ou réduite en conséquence, ou encore supprimée (al. 1). De même, toute prestation</w:t>
      </w:r>
    </w:p>
    <w:p>
      <w:r>
        <w:t>Tribunal cantonal TC Page 4 de 7 durable accordée en vertu d'une décision entrée en force est, d'office ou sur demande, augmentée ou réduite en conséquence, ou encore supprimée si les circonstances dont dépendait son octroi changent notablement (al. 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w:t>
      </w:r>
    </w:p>
    <w:p>
      <w:r>
        <w:t>Tribunal cantonal TC Page 5 de 7 un examen matériel du droit à la rente avec une constatation des faits pertinents, une appréciation des preuves et une comparaison des revenus conforme au droit (cf. ATF 130 V 71 consid. 3.2.3).</w:t>
      </w:r>
    </w:p>
    <w:p>
      <w:r>
        <w:rPr>
          <w:b/>
        </w:rPr>
        <w:t>E. 3</w:t>
      </w:r>
    </w:p>
    <w:p>
      <w:r>
        <w:t>Est en l'espèce litigieuse la question de savoir si le recourant a établi de manière plausible une éventuelle modification de son invalidité susceptible d'influencer ses droits, conformément à l'art. 87 al. 2 RAI (cf. supra 2c). a) En 1995, le droit à une demi-rente d’invalidité a été reconnu au recourant, exclusivement en raison d’un trouble de l’adaptation chez une personnalité pré-psychotique borderline et dépendante; les experts sollicités au plan physique ont en effet estimé que les lombalgies chroniques diagnostiquées n’empêchaient pas l’exercice à temps plein d’une activité adaptée. En 2000, ce droit a été confirmé. En 2013, le recourant a déposé une demande d’augmentation de sa rente d’invalidité auprès de l’OAI, en alléguant avoir perdu l’usage partiel de son bras gauche depuis le 7 avril 2012 en raison d’un syndrome de Parsonage Turner. En se fondant notamment sur le rapport du 6 mai 2013 du Dr D.________, médecin spécialiste FMH en neurologie, qui avait conclu à une capacité de travail résiduelle de 80% dans l’activité habituelle de vendeur en papeterie à cause du syndrome de Parsonage Turner (cf. dossier AI pce p. 510 à 513), l’OAI a considéré que l’apparition dudit syndrome n’avait pas d’incidence sur la capacité de travail résiduelle, laquelle était déjà réduite de 50% pour des motifs d’ordre psychiatrique. Par décision du 6 janvier 2015, l’office a ainsi rejeté la demande de révision du recourant. b) En octobre 2015, le recourant a déposé une nouvelle demande d’augmentation de sa rente, en alléguant avoir perdu l’usage total de son bras gauche. Les documents médicaux suivants ont dès lors été produits : - Le certificat d’incapacité de travail totale à partir du 14 octobre 2015 pour une durée indéterminée, établi le 14 octobre 2015 par le Dr C.________, médecin spécialiste FMH en médecine générale (dossier AI pce p. 592). - Le rapport médical du 21 octobre 2015 du Dr C.________, qui a explicitement fait état de la survenance de faits nouveaux survenus postérieurement à la décision du 6 janvier 2015 et exposé que « si en janvier 2015 il pouvait se servir de son bras [gauche] de façon restreinte, mais [plus ou moins] sans douleur, le fait est que depuis le mois d'octobre 2015, suite au travail même léger au CEPAI, le bras [gauche] concerné par la névralgie paralysante amyotrophiante, est devenu complètement dysfonctionnel ». Finalement, le généraliste a suggéré de porter le degré d’invalidité de son patient à 100% (dossier AI pces p. 599 s., 616). - Le rapport du 22 octobre 2015 du CEPAI, dont il ressort que le stage débuté le 21 septembre a été interrompu le 18 octobre, suite au certificat d’incapacité de travail totale délivrée par le médecin traitant de l’assuré. Des problèmes d’alcool et de présentation personnelle ont été évoqués (dossier AI pce p. 593 à 597). - La prise de position du 24 novembre 2015 du Dr E.________, médecin spécialiste FMH en anesthésiologie, du SMR, qui a considéré que le problème du bras gauche n’était pas un fait nouveau, que l’augmentation des douleurs était un élément subjectif et que les limitations fonctionnelles relatives à l’usage du bras gauche restaient inchangées (dossier AI pce p. 603 s.). Enfin, avec son écriture de recours, le recourant a produit le certificat médical du 9 mars 2016 du Dr C.________, qui a exposé que la décision de l’OAI relevait de la mauvaise foi et a remis en</w:t>
      </w:r>
    </w:p>
    <w:p>
      <w:r>
        <w:t>Tribunal cantonal TC Page 6 de 7 question les compétences de son personnel. En outre, il a estimé qu’une rente entière serait médicalement entièrement justifiée et a demandé à ce que son patient soit réexaminé par un médecin afin de confirmer l’impotence fonctionnelle de son bras gauche (dossier AI pce p. 617). c) Amenée à statuer sur la question litigieuse, la Cour de céans note que la problématique du bras gauche existait certes dès avant la décision du 6 janvier 2015, ainsi que l’a retenu le SMR. Force est cependant de constater qu’auparavant le recourant ne présentait qu’une restriction fonctionnelle de son épaule gauche : il ne pouvait porter à deux mains de charges plus lourdes que 10kg et ne pouvait surélever son épaule au-delà de 45° ainsi qu’en rotation externe au-delà de 0° (cf. notamment le rapport du 23 juin 2014 du Dr F.________, dossier AI pce p. 550 à 553, et la prise de position du 26 mars 2014 du Dr E.________ du SMR, dossier AI pce p. 543 s.); alors qu’à ce jour, il fait valoir une complète dysfonction ou impotence de son bras gauche (cf. la teneur de sa demande de révision de 2015 et le rapport médical du 21 octobre 2015 du Dr C.________). Son médecin traitant, le Dr C.________, a d’ailleurs expressément souligné qu’une péjoration de la situation clinique de son patient s’était produite postérieurement à la dernière décision de l’autorité intimée. Aussi, dans la mesure où des faits nouveaux semblent être survenus et que les limitations fonctionnelles semblent s’être modifiées, il faut considérer qu’une modification essentielle des conditions de fait susceptible d’influer sur le taux d’invalidité du recourant a été rendue plausible. La prise de position du 24 novembre 2015 du Dr E.________, lequel n’a pas personnellement examiné le recourant, et la décision attaquée ne convainquent donc manifestement pas.</w:t>
      </w:r>
    </w:p>
    <w:p>
      <w:r>
        <w:rPr>
          <w:b/>
        </w:rPr>
        <w:t>E. 4</w:t>
      </w:r>
    </w:p>
    <w:p>
      <w:r>
        <w:t>a) Partant, le recours, bien fondé, doit être admis et la décision du 23 février 2016 annulée. La cause est renvoyée à l'autorité intimée, afin qu'elle entre en matière sur la nouvelle demande et soumette le recourant à tout le moins à l’appréciation d’un neurologue, qui se prononcera sur l’éventuelle perte totale de l’usage de son bras gauche et sur sa capacité de travail résiduelle. b) Les frais de procédure, par CHF 400.-, sont mis à la charge de l'autorité intimée qui succombe. L’avance de frais de CHF 400.- consentie par le recourant lui est restituée. c) Le recourant n’étant pas représenté, il n’est pas alloué de dépens.</w:t>
      </w:r>
    </w:p>
    <w:p>
      <w:r>
        <w:t>Tribunal cantonal TC Page 7 de 7 la Cour arrête: I. Le recours est admis au sens des considérants. Partant, la décision du 23 février 2016 est annulée et la cause renvoyée à l'autorité intimée, afin qu'elle entre en matière sur la nouvelle demande et rende une nouvelle décision. II. Les frais de procédure, par CHF 400.-, sont mis à la charge de l’Office de l’assurance- invalidité du canton de Fribourg. III. L’avance de frais de CHF 400.- consentie par A.________ lui est restituée.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