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608 2016 271 vom 17. Juli 2017</w:t>
      </w:r>
    </w:p>
    <w:p>
      <w:r>
        <w:t>FR Kantonsgericht, 2017-07-17, FR</w:t>
      </w:r>
    </w:p>
    <w:p>
      <w:r>
        <w:rPr>
          <w:b/>
        </w:rPr>
        <w:t xml:space="preserve">Quelle: </w:t>
      </w:r>
      <w:r>
        <w:t>https://mcp.opencaselaw.ch/entscheid/fr_gerichte_608_2016_271</w:t>
      </w:r>
    </w:p>
    <w:p>
      <w:r>
        <w:t>FR: FR_GERICHTE 608 2016 271 du 17 juillet 2017</w:t>
      </w:r>
    </w:p>
    <w:p>
      <w:r>
        <w:t>IT: FR_GERICHTE 608 2016 271 del 17 luglio 2017</w:t>
      </w:r>
    </w:p>
    <w:p>
      <w:pPr>
        <w:pStyle w:val="Heading2"/>
      </w:pPr>
      <w:r>
        <w:t>Regeste</w:t>
      </w:r>
    </w:p>
    <w:p>
      <w:r>
        <w:t>Arrêt de la IIe Cour des assurances sociales du Tribunal cantonal | Erlass der Gerichtskosten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17 juillet 2017/mba Président Greffier-rapporteur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