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253 vom 27. Juni 2017</w:t>
      </w:r>
    </w:p>
    <w:p>
      <w:r>
        <w:t>FR Kantonsgericht, 2017-06-27, FR</w:t>
      </w:r>
    </w:p>
    <w:p>
      <w:r>
        <w:rPr>
          <w:b/>
        </w:rPr>
        <w:t xml:space="preserve">Quelle: </w:t>
      </w:r>
      <w:r>
        <w:t>https://mcp.opencaselaw.ch/entscheid/fr_gerichte_608_2016_253</w:t>
      </w:r>
    </w:p>
    <w:p>
      <w:r>
        <w:t>FR: FR_GERICHTE 608 2016 253 du 27 juin 2017</w:t>
      </w:r>
    </w:p>
    <w:p>
      <w:r>
        <w:t>IT: FR_GERICHTE 608 2016 253 del 27 giugno 2017</w:t>
      </w:r>
    </w:p>
    <w:p>
      <w:pPr>
        <w:pStyle w:val="Heading2"/>
      </w:pPr>
      <w:r>
        <w:t>Regeste</w:t>
      </w:r>
    </w:p>
    <w:p>
      <w:r>
        <w:t>Arrêt de la IIe Cour des assurances sociales du Tribunal cantonal | Ergänzungsleistungen</w:t>
      </w:r>
    </w:p>
    <w:p>
      <w:pPr>
        <w:pStyle w:val="Heading2"/>
      </w:pPr>
      <w:r>
        <w:t>Erwägungen</w:t>
      </w:r>
    </w:p>
    <w:p>
      <w:r>
        <w:rPr>
          <w:b/>
        </w:rPr>
        <w:t>E. 19</w:t>
      </w:r>
    </w:p>
    <w:p>
      <w:r>
        <w:t>septembre 2016 que le caractère irrécouvrable de la créance a été démontré. C'est dès lors à la date où à laquelle le changement a été annoncé que le calcul doit être rectifié. Il n'a pas été procédé à un second échange d'écritures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sur son principe.</w:t>
      </w:r>
    </w:p>
    <w:p>
      <w:r>
        <w:t>Tribunal cantonal TC Page 3 de 7 On relève cependant que la prestation de l’année 2014 a fait l’objet d’un jugement du Tribunal cantonal, lequel est entré en force et lie l’administration. Au vu de l’issue du présent litige, il n'y a pas lieu de revenir sur les possibilités de demander la révision d’un jugement du Tribunal cantonal. 2. a) 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b) 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ainsi que les pensions alimentaires prévues par le droit de la famille (let. h).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Le revenu déterminant le droit aux prestations complémentaires revenant à une personne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(arrêt TF P 68/02 du 11 février 2004 consid. 3.2). c) aa) Selon l'art. 25 al. 1 let. c de l'ordonnance du 15 janvier 1971 sur les prestations complémentaires à l'assurance-vieillesse, survivants et invalidité (OPC-AVS/AI; RS 831.301),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w:t>
      </w:r>
    </w:p>
    <w:p>
      <w:r>
        <w:t>Tribunal cantonal TC Page 4 de 7 existant à la date à laquelle le changement intervient; on peut renoncer à adapter la prestation complémentaire annuelle, lorsque la modification est inférieure à CHF 120.- par an. Dans un tel cas, l'art. 25 al. 2 let. b OPC-AVS/AI prévoit que, lors d'une augmentation de l'excédent des dépenses, la nouvelle décision doit porter effet dès le début du mois au cours duquel le changement a été annoncé, mais au plus tôt à partir du mois dans lequel celui-ci est survenu. Ces dispositions prévoient la modification d'une décision d'octroi de prestations complémentaires avec effet ex nunc, soit sans effet rétroactif, uniquement pour le futur. bb) Cela étant, la modification d'une décision d'octroi de prestations complémentaires peut avoir un effet ex tunc (rétroactif)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(arrêt TF P 26/02 du</w:t>
      </w:r>
    </w:p>
    <w:p>
      <w:r>
        <w:rPr>
          <w:b/>
        </w:rPr>
        <w:t>E. 20</w:t>
      </w:r>
    </w:p>
    <w:p>
      <w:r>
        <w:t>janvier 2003 consid. 2.1 et les arrêts cités). Sont "nouveaux"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127 V 353 consid. 5b et les références; cf.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faits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(arrêt TF 9C_178/2013 du 28 juin 2013 consid. 3.2; ATF 127 V 353 consid. 5b). d)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t>Tribunal cantonal TC Page 5 de 7 Tandis que l'art. 27 al. 1 LPGA vise l'obligation de renseigner, soit une information générale, l'art. 27 al. 2 LPGA prescrit une obligation de conseil, ce par quoi il faut entendre une information touchant un cas particulier (KIESER, ATSG-Kommentar, 2e éd., 2008, n. 2 ad art. 27). En particulier, le devoir de conseils de l'assureur social au sens de l'art. 27 al. 2 LPGA comprend l'obligation de rendre la personne intéressée attentive au fait que son comportement pourrait mettre en péril la réalisation de l'une des conditions du droit aux prestations. Il s'étend non seulement aux circonstances de fait déterminantes, mais également aux circonstances de nature juridique. Son contenu dépend entièrement de la situation concrète dans laquelle se trouve l'assuré, telle qu'elle est reconnaissable pour l'administration (arrêt TF 9C_97/2009 du 14 octobre 2009 consid. 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e) 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cf. ATF 125 III 238 consid. 4a).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 partie adverse (ATF 124 V 375 consid. 3; RAMA 1999 n° U 344, p. 418 consid. 3). Selon les Directives de l'OFAS concernant les prestations complémentaires à l’AVS et à l’AI (ci- après: DPC), la preuve du caractère irrécouvrable de la créance incombe au bénéficiaire de prestations complémentaires (ch. 3.481.09). 3. En l'espèce, la recourante ne remet pas en cause le calcul des prestations complémentaires mais demande leur paiement rétroactif à la date du dépôt de la demande, soit depuis le mois de mai 2014 (demande du 19 mai 2014). a) C'est par courrier du 19 septembre 2016 que la recourante a, pour la première fois, informé la Caisse que son ex-mari n'était pas en mesure de s'acquitter de sa pension alimentaire, attestation de la caisse compétente en annexe. Or, comme elle l'indique expressément dans son recours, elle avait connaissance de ce fait depuis de nombreuses années et était en mesure d'"en fournir les preuves dès le début de [sa] demande".</w:t>
      </w:r>
    </w:p>
    <w:p>
      <w:r>
        <w:t>Tribunal cantonal TC Page 6 de 7 Il ne s'agit dès lors ni de faits nouveaux, ni de moyens de preuves nouveaux (cf. consid. 2c/bb). Partant, c'est à juste titre que l'autorité intimée a fait application de l'art. 25 al. 1 let. c et al. 2 let. b OPC-AVS/AI, lequel prévoit la modification d'une décision d'octroi de prestations complémentaires avec effet ex nunc, soit uniquement pour le futur. b) La recourante reproche à l'autorité intimée de ne pas l'avoir invitée à démontrer le caractère irrécouvrable de la pension alimentaire. Par ce biais, elle se plaint en substance d'une violation par l'autorité intimée de son obligation d'informer et de conseiller. L'autorité intimée n'a été que tardivement informée du fait que l'ex-époux de la recourante bénéficiait de prestations complémentaires dans un autre canton. La Cour de céans avait relevé dans son arrêt du 19 juillet 2016 que "la situation financière actuelle de son ex-époux n'est nullement établie de sorte qu'on ne peut pas examiner s'il est en mesure ou non de remplir ses obligations, la recourante ne traitant par ailleurs pas cette question" (arrêt TC 608 2015 76 du 19 juillet 2016 consid. 3). En outre, même si, comme allégué dans différents courriers, la situation financière de l'ex-époux pouvait être considérée comme précaire en 1990, au moment où il avait été renoncé à la perception d'une pension alimentaire, cette situation était susceptible d'avoir évolué vingt-cinq ans plus tard et compte tenu d'un remariage (cf. opposition du 23 mars 2015). Aucun élément au dossier ne permettait de penser que l'ex-époux n'était, en 2014, toujours pas en mesure de s'acquitter d'une pension alimentaire. La situation précaire de l'ex-époux de l'assurée n'était donc pas reconnaissable pour l'autorité intimée, y compris au moment où elle a rendu la première décision le 13 janvier 2015 rejetant la demande de versement de prestations complémentaires en tenant compte d'une pension alimentaire de CHF 6'000.-. Dans ces circonstances, on ne peut pas reprocher à l'autorité intimée d'avoir failli à son obligation d'informer en n'indiquant pas à la recourante que la pension alimentaire due ne serait pas prise en compte dans le calcul des prestations complémentaires si son caractère irrécouvrable était démontré. Il n'y a pas de défaut de renseignement de la part de l'autorité intimée et la prestation ne saurait être accordée avec effet rétroactif pour cette raison. 4. Au vu de ce qui précède, le recours doit être rejeté et la décision sur opposition attaquée, confirmée. En vertu du principe de gratuité de la procédure prévalant en la matière, il n'est pas perçu de frais de justice, bien que l'on puisse fortement s'interroger sur la question de savoir si le présent recours est téméraire.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