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245 vom 20. November 2017</w:t>
      </w:r>
    </w:p>
    <w:p>
      <w:r>
        <w:t>FR Kantonsgericht, 2017-11-20, FR</w:t>
      </w:r>
    </w:p>
    <w:p>
      <w:r>
        <w:rPr>
          <w:b/>
        </w:rPr>
        <w:t xml:space="preserve">Quelle: </w:t>
      </w:r>
      <w:r>
        <w:t>https://mcp.opencaselaw.ch/entscheid/fr_gerichte_608_2016_245</w:t>
      </w:r>
    </w:p>
    <w:p>
      <w:r>
        <w:t>FR: FR_GERICHTE 608 2016 245 du 20 novembre 2017</w:t>
      </w:r>
    </w:p>
    <w:p>
      <w:r>
        <w:t>IT: FR_GERICHTE 608 2016 245 del 20 novembre 2017</w:t>
      </w:r>
    </w:p>
    <w:p>
      <w:pPr>
        <w:pStyle w:val="Heading2"/>
      </w:pPr>
      <w:r>
        <w:t>Regeste</w:t>
      </w:r>
    </w:p>
    <w:p>
      <w:r>
        <w:t>Arrêt de la IIe Cour des assurances sociales du Tribunal cantonal | Invalidenversicherung</w:t>
      </w:r>
    </w:p>
    <w:p>
      <w:pPr>
        <w:pStyle w:val="Heading2"/>
      </w:pPr>
      <w:r>
        <w:t>Erwägungen</w:t>
      </w:r>
    </w:p>
    <w:p>
      <w:r>
        <w:rPr>
          <w:b/>
        </w:rPr>
        <w:t>E. 31</w:t>
      </w:r>
    </w:p>
    <w:p>
      <w:r>
        <w:t>décembre 2014, d’un trois-quarts de rente du 1er janvier au 31 décembre 2015 et d’un quart de</w:t>
      </w:r>
    </w:p>
    <w:p>
      <w:r>
        <w:t>Tribunal cantonal TC Page 3 de 9 rente du 1er janvier au 31 décembre 2016, ainsi que, subsidiairement, au renvoi du dossier à l’autorité intimée pour instruction complémentaire quant aux revenus avec et sans invalidité. Le recourant fait en substance valoir que ses revenus sans et avec invalidité auraient été mal évalués. Il estime par ailleurs que l’on ne saurait exiger de lui qu’il abandonne son activité indépendante qu’il pourrait continuer d’exercer à plein temps mais sous une forme différente, pour se retrouver sur le marché du travail en tant que salarié sans expérience dans l’industrie légère. Enfin, il avance que l’autorité intimée lui aurait, à un certain moment de la procédure, promis une « rente momentanée de soutien ». Une avance de frais de CHF 800.- a été versée le 18 novembre 2016. Dans ses observations du 9 janvier 2017, l’autorité intimée propose le rejet du recours. Elle estime que le recourant devait, en vertu de son obligation de réduire le dommage, accepter les mesures de réadaptation qui lui ont été proposées. De plus, elle expose qu’une « rente momentanée de soutien » n’est prévue par aucune circulaire ni ordonnance et qu’une telle rente n’a pas été accordée. D. Dans ses contre-observations du 14 février 2017, le recourant persiste dans son argumentation et ses conclusions. Par écriture ampliative du 22 février 2017, l’autorité intimée renonce à se déterminer plus avant et déclare maintenir ses conclusions. E. Aucun autre échange d'écritures n'a été ordonné entre les parties. Il sera fait état des arguments de ces dernières,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 assuré directement touché par la décision attaquée et dûment représentée, le recours est recevable. 2. a) Aux termes de l'art. 8 al. 1 de la loi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b) D’après une jurisprudence constante, ce n’est pas l’atteinte à la santé en soi qui est assurée, ce sont bien plutôt les conséquences économiques de celle-ci, c’est-à-dire une incapacité de gain qui sera probablement permanente ou du moins de longue durée (ATF 127 V 294).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w:t>
      </w:r>
    </w:p>
    <w:p>
      <w:r>
        <w:t>Tribunal cantonal TC Page 4 de 9 (art. 6 LPGA) d'au moins 40% en moyenne durant une année sans interruption notable; c. au terme de cette année, il est invalide (art. 8 LPGA) à 40% au moins (art. 28 al. 1 LAI).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(art. 28 al. 2 LAI). c)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d) Dans la mesure où il n'est pas possible d'établir ou d'évaluer de manière fiable les deux revenus hypothétiques provenant d'une activité lucrative, le Tribunal fédéral a établi que l'invalidité doit être évaluée, dans l'activité exercée, d'après l'incidence de la capacité de rendement amoindrie sur la situation économique concrète (ATF 128 V 29 consid. 1). C'est en particulier le cas des travailleurs indépendants. Sur la base de cette méthode, dite « extraordinaire », inspirée de la méthode dite « spécifique », on constate d'abord l'empêchement dû à la maladie ou l'infirmité, puis l'on apprécie séparément les effets de cet empêchement sur la capacité de gain (Pratique VSI 2/1998 p. 121; Droit des assurances sociales - Jurisprudence SVR 1996 IV n° 74 consid. 2b). Une certaine diminution de la capacité de rendement fonctionnelle peut certes, dans le cas d'une personne active, entraîner une perte de gain de la même importance, mais n'a pas nécessairement cette conséquence.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TF 9C_580/2007 du 17 juin 2008 consid. 5.4). Aussi, lorsque l'activité exercée au sein de l'entreprise après la survenance de l'atteinte à la santé ne met pas pleinement en valeur la capacité de travail résiduelle de l'assuré, celui-ci peut être tenu, en fonction des circonstances objectives et subjectives du cas concret, de mettre fin à son activité indépendante au profit d'une activité salariée plus lucrative (arrêt TF 9C_236/2009 du 7 octobre 2009 consid. 4.3 et les références citées; voir également arrêt TF 8C_748/2008 du 10 juin 2009 consid. 4; s'agissant de la situation d'un agriculteur, voir arrêt TF I 38/06 du 7 juin 2006 consid. 3.2 et les références citées). e) Le rôle principal de l'assurance-invalidité consiste à éliminer ou à atténuer au mieux les effets préjudiciables d'une atteinte à la santé sur la capacité de gain de la personne assurée, en</w:t>
      </w:r>
    </w:p>
    <w:p>
      <w:r>
        <w:t>Tribunal cantonal TC Page 5 de 9 privilégiant au premier plan l'objectif de réinsertion dans la vie professionnelle active ou dans le secteur d'activité initial, et au second plan le versement de prestations en espèces (Message du 22 juin 2005 concernant la modification de la loi fédérale sur l'assurance-invalidité [5e révision de l'AI], FF 2005 4223 n. 1.1.1.2). L'examen d'un éventuel droit à des prestations de l'assurance- invalidité doit par conséquent procéder d'une démarche investigative au centre de laquelle figure avant tout la valorisation économique des aptitudes résiduelles - fonctionnelles et/ou intellectuelles - de la personne assurée. Les mesures qui peuvent être exigées d'un assuré doivent être aptes à atténuer les conséquences de l'atteinte à la santé (arrêt TF 9C_236/2009 du 7 octobre 2009 consid. 4.4.1). Dans le domaine de l'assurance-invalidité, on applique de manière générale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citées).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(ATF 138 I 205 et les références citées; arrêt TF 9C_578/2009 du 29 décembre 2009 consid. 4.2.2 et les références citées). Ainsi doit-on pouvoir exiger de celui qui requiert des prestations qu'il prenne toutes les mesures qu'un homme raisonnable prendrait dans la même situation s'il devait s'attendre à ne recevoir aucune prestation d'assurance. Au moment d'examiner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une fois pour toutes.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déraisonnables ou abusives (ATF 113 V 22 consid. 4d, confirmé par ATF 134 I 105 consid. 8.2; HÜRZELER, Prävention im Haftpflicht- und Sozialversicherungsrecht, in Prävention im Recht, 2007, p. 172 s.).</w:t>
      </w:r>
    </w:p>
    <w:p>
      <w:r>
        <w:t>Tribunal cantonal TC Page 6 de 9 f)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peuvent encore, raisonnablement, être exigés de l'assuré (ATF 125 V 256 consid. 4; 115 V 133 consid. 2; 114 V 310 consid. 3c; 105 V 156 consid. 1). 3. Le principe de la bonne foi, ancré à l'art. 9 de la Constitution fédérale de la Confédération suisse du 18 avril 1999 (Cst.; RS 101) et valant pour l'ensemble de l'activité étatique, exige que l'administration et les administrés se comportent réciproquement de manière loyale. L'administration doit en particulier s'abstenir de tout comportement propre à tromper l'administré et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d'un simple comportement de l'administration susceptible d'éveiller chez l'administré une attente ou une espérance légitime. Entre autres conditions, l'autorité doit être intervenue à l'égard du citoyen dans une situation concrète et celui-ci doit avoir pris, en se fondant sur les promesses ou le comportement de l'administration, des dispositions qu'il ne saurait modifier sans subir de préjudice (cf. ATF 129 II 361 consid. 7.1 et les références citées). 4. a) Au plan médical, le recourant souffre d’un status après ruptures en 2008 de la coiffe des rotateurs de l’épaule gauche et en 2013 de la coiffe des rotateurs de l’épaule droite. Il présente une diminution de rendement de 70% dans son activité habituelle d’agriculteur indépendant. Le recourant est par contre capable d’exercer, à 100% sans diminution de rendement, une activité de substitution adaptée à son état de santé, à savoir une activité respectant les limitations fonctionnelles suivantes: pas de travail avec les bras au-dessus de l’horizontale passant par les deux épaules, de port de charges de plus de 5kg de chaque bras, de mouvements répétitifs en flexion extension et rotation des deux épaules. Une activité dans l’industrie légère respecterait ces limitations. Cette appréciation médicale a été dûment attestée par les médecins sollicités (cf. la prise de position du 12 août 2015 du Dr D.________, médecin spécialiste FMH en médecine générale, du Service médical régional de l’assurance-invalidité [SMR], dossier AI pce p. 344 à 346; au plan psychiatrique, le rapport du 23 octobre 2015 du Dr E.________, médecin spécialiste FMH en psychiatrie et psychothérapie, dossier AI pce p. 259 à 263; au plan somatique, pour l’atteinte à l’épaule droite, les rapports des 21 mai, 4 juin, 10 septembre, 23 décembre 2013, 21 août 2014, 10 février, 9 mai 2014, 26 mai et 7 septembre 2015 et certificats du Dr F.________, médecin spécialiste FMH en chirurgie orthopédique et traumatologie, dossier AI pces p. 142, 293 à 298, 316, 318 s., 321 à 323, 336, 357, 404 à 410, 425 à 433, 439 à 442, 482 à 485, 514 à 519, 527; et les rapports des 20 janvier 2009, 28/29 avril 2014, 7 septembre 2015 et certificats du Dr G.________, médecin spécialiste FMH en médecine générale, dossier AI pces p. 287, 289, 331 s., 411 à 414; pour l’atteinte à l’épaule gauche, les rapports des 20 novembre 2008, 2 février, 2 avril, 16 et 22 décembre 2009 et certificats du Dr H.________, médecin spécialiste FMH en</w:t>
      </w:r>
    </w:p>
    <w:p>
      <w:r>
        <w:t>Tribunal cantonal TC Page 7 de 9 chirurgie orthopédique et chirurgie de la main, dossier AI pces p. 275 à 286, 288, 475 à 481). Il convient de noter que le Dr F.________, lors même qu’il a à une reprise laissé entendre que même dans l’exercice d’une activité de substitution adaptée l’assuré pourrait présenter une certaine diminution de rendement en raison de l’état douloureux (dossier AI p. 357), il a, en dernier lieu et à plusieurs reprises, explicitement conclu à une capacité de travail pleine et entière dans une telle activité (dossier AI pces p. 336, 406). Cette conclusion a par ailleurs été reprise et confirmée par le Dr D.________ du SMR. Surtout, elle est incontestée par le recourant. b) Il convient dès lors d’examiner si ce changement de profession peut effectivement être exigé du recourant, ce que ce dernier conteste en revanche. Pour diminuer son dommage, rappelons qu'il suffit qu'un assuré puisse réaliser, dans une activité adaptée, un revenu d'invalide supérieur à celui provenant de la poursuite de son métier (cf. arrêt TF 9C_924/2011 du 3 juillet 2012). Ainsi que nous le verrons, le recourant est en l’espèce en mesure, en changeant de profession, de réaliser un revenu notablement plus élevé que celui perçu dans son activité d’agriculteur indépendant. Le recourant dispose par ailleurs d’un très large panel d’activités à choix, ses limitations fonctionnelles n’étant pas très restrictives et l’industrie légère n’étant donnée qu’à titre d’exemple (cf. arrêt TF 9C_67/2015 du 23 juin 2015). Même si le recourant ne possède aucune expérience professionnelle dans une autre profession que son activité habituelle, il convient de souligner que le salaire dont a tenu compte l’autorité est le salaire au niveau de qualification ne nécessitant précisément pas de telles connaissances. S’y ajoute le fait que le maintien de l’activité actuelle est clairement contre-indiqué médicalement. Enfin, le recourant n’était âgé que de 51 ans au moment de la décision litigieuse. Ainsi, nonobstant l’attachement porté par le recourant à son entreprise, il apparaît exigible de sa part qu'il change d'activité professionnelle. c) L’autorité intimée, en se fondant sur des valeurs statistiques conformément à la jurisprudence (cf. ATF 129 V 472 consid. 4.2.1), a considéré que le recourant pouvait, dans une activité dans l’industrie légère, réaliser un revenu de CHF 66'155.05. Le recourant n’a pas contesté l’établissement de ce revenu d’invalide, qui doit dès lors être admis. C’est par contre à tort que l’OAI a retenu, dans la décision querellée, que l’assuré ne subissait une incapacité de travail dans son activité habituelle d’agriculteur indépendant que depuis le 19 avril 2013. Dans sa prise de position du 12 août 2015, le Dr D.________, du SMR, a d’ailleurs expressément noté que l’incapacité de travail dans l’activité habituelle avait débuté le 22 septembre 2008. Le recourant a d’ailleurs bénéficié d’un prêt de CHF 24'300.- destiné à l’acquisition de moyens auxiliaires en 2009. Aussi convenait-il d’établir le revenu de valide en se fondant sur les revenus réalisés avant 2008. Dans la mesure toutefois où les revenus réalisés avant 2008 (CHF 14'700.- en 2003, CHF 34'000.- en 2004, CHF 41'300.- en 2005, CHF 41'000.- en 2006 et CHF 50'800.- en 2007; dossier AI pce p. 524) demeurent largement inférieurs au revenu d’invalide de CHF 66'155.05, le recourant n’a donc de toute façon pas droit à une rente de l’assurance-invalidité. d) Tout au plus pouvait-t-on se demander si une rente limitée dans le temps devait être reconnue au recourant, attendu que la vente de sa ferme et le changement d’activité ne pouvaient pas nécessairement être exigés au jour de l’expertise agricole, respectivement de la décision</w:t>
      </w:r>
    </w:p>
    <w:p>
      <w:r>
        <w:t>Tribunal cantonal TC Page 8 de 9 attaquée, mais qu’une période de transition pour liquider son entreprise ou lui trouver un repreneur lui était nécessaire. Dans la décision attaquée, l’autorité intimée a retenu que le recourant, sans changer d’activité mais en effectuant des aménagements au sens de son entreprise, pouvait réaliser en 2016 un revenu d’invalide de CHF 27'284.-. Pour ce faire, elle s’est fondée sur le rapport d’expertise du 13 octobre 2014 et les compléments d’expertise des 24 mars 2015, 17 mai et 8 septembre 2016 (dossier AI pces p. 24 à 26, 46 à 52, 359 à 362 et 381 à 386) de I.________ de C.________. L’expert a en particulier retenu qu’il était impératif que le recourant vende toutes ses vaches, abandonne l’achat de veaux blancs et effectue un changement au profit d’une production moins intensive que la production de ces derniers. Il a estimé que le coût de la restructuration de son exploitation agricole s'élevait à CHF 10'000.- (adaptations d'infrastructures, barrières, frais de publicité pour chercher des génisses pour l'affouragement, etc.) et que les recettes des ventes les couvriraient largement. S’agissant de l’expertise en question et de ses compléments, la Cour de céans estime qu’ils remplissent les exigences jurisprudentielles. Ils ont en effet été établis par une personne qualifiée disposant d’une connaissance de la situation locale, qui a personnellement visité l’exploitation du recourant et s’est personnellement entretenu avec lui. Ils tiennent de plus compte des limitations fonctionnelles du recourant et de ses aspirations. Enfin, ils sont dûment motivés, ne contiennent pas de contradictions et aboutissent à des conclusions claires. Par ailleurs aucun des griefs soulevés par le recourant dans le cadre de la présente procédure ne permet de remettre en cause leurs conclusions. Il sied, partant, de leur accorder une pleine valeur probante. Le revenu de valide doit être déterminé en se fondant sur la moyenne des revenus réalisés avant l’atteinte à la santé survenue en 2008, d'autant plus que les revenus réalisés après la survenance de l’invalidité ne correspondent par ailleurs pas au travail effectué par l'assuré, ce dernier ayant depuis lors bénéficié d’une aide accrue de son père puis de son oncle. Or, le revenu moyen réalisé entre 2003 et 2007 est de CHF 36'360.- (dossier AI pce p. 524). Même en adaptant ce revenu au renchérissement et à son développement réel, la comparaison des revenus d’invalide et de valide du recourant n’aboutirait pas à un taux d’invalidité ouvrant le droit à une rente pour ladite période de transition; ce d’autant plus qu’il n’est pas exclu que le revenu obtenu ne doive encore être réparti entre le recourant et son père, dans la mesure où ce dernier fournissait déjà de l’aide à son fils à ce moment au sein de l’entreprise. e) Quant à l’argument soutenu par le recourant, selon lequel l’autorité intimée lui aurait promis une rente, il ne convainc pas. En effet, si, par ce truchement, le recourant entendait invoquer son droit à la protection de sa bonne foi au sens de l'art. 9 Cst., force est de constater qu’en l’espèce l’existence d’une promesse ou d’assurances qui aurait été données par l’autorité intimée ou l’un de ses employés n’est pas établie. De surcroît, il n’a pas été prouvé, ni même allégué d’ailleurs, que le recourant aurait pris, en se fondant sur le comportement de l'administration, des dispositions qu'il ne saurait modifier sans subir de préjudice. 5. a) Partant, le recours doit être rejeté et la décision attaquée confirmée. b) Les frais de justice, fixés à CHF 800.-, sont mis à la charge du recourant qui succombe et compensés avec l'avance du même montant. c) Eu égard au sort du litige, il n’est pas alloué de dépens.</w:t>
      </w:r>
    </w:p>
    <w:p>
      <w:r>
        <w:t>Tribunal cantonal TC Page 9 de 9 la Cour arrête: I. Le recours est rejeté. II. Les frais de procédure, par CHF 800.-, sont mis à la charge de A.________ et compensés avec l'avance du même montant.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novembre 2017/yho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