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236 vom 5. Oktober 2017</w:t>
      </w:r>
    </w:p>
    <w:p>
      <w:r>
        <w:t>FR Kantonsgericht, 2017-10-05, FR</w:t>
      </w:r>
    </w:p>
    <w:p>
      <w:r>
        <w:rPr>
          <w:b/>
        </w:rPr>
        <w:t xml:space="preserve">Quelle: </w:t>
      </w:r>
      <w:r>
        <w:t>https://mcp.opencaselaw.ch/entscheid/fr_gerichte_608_2016_236</w:t>
      </w:r>
    </w:p>
    <w:p>
      <w:r>
        <w:t>FR: FR_GERICHTE 608 2016 236 du 5 octobre 2017</w:t>
      </w:r>
    </w:p>
    <w:p>
      <w:r>
        <w:t>IT: FR_GERICHTE 608 2016 236 del 5 ottobre 2017</w:t>
      </w:r>
    </w:p>
    <w:p>
      <w:pPr>
        <w:pStyle w:val="Heading2"/>
      </w:pPr>
      <w:r>
        <w:t>Regeste</w:t>
      </w:r>
    </w:p>
    <w:p>
      <w:r>
        <w:t>Arrêt de la IIe Cour des assurances sociales du Tribunal cantonal | Invalidenversicherung</w:t>
      </w:r>
    </w:p>
    <w:p>
      <w:pPr>
        <w:pStyle w:val="Heading2"/>
      </w:pPr>
      <w:r>
        <w:t>Erwägungen</w:t>
      </w:r>
    </w:p>
    <w:p>
      <w:r>
        <w:rPr>
          <w:b/>
        </w:rPr>
        <w:t>E. 1</w:t>
      </w:r>
    </w:p>
    <w:p>
      <w:r>
        <w:t>a) Interjeté en temps utile et dans les formes légales par un assuré directement touché par la décision attaquée et dûment représenté, le recours est recevable. L'avance de frais ayant été versée en temps utile, le Tribunal peut examiner les mérites du recours. b) Selon l'art. 77 du code cantonal du 23 mai 1991 de procédure et de juridiction administrative (CPJA; RSF 150.1), applicable par le renvoi de l'art. 61 de la loi du 6 octobre 2000 sur la partie générale du droit des assurances sociales (LPGA; RS 830.1), elle-même applicable par le biais de l'art. 1 al. 1 de la loi du 19 juin 1959 sur l'assurance-invalidité (LAI; RS 831.20), le recours devant le Tribunal cantonal peut être formé pour violation du droit, y compris l'excès ou l'abus du pouvoir d'appréciation (let. a) et pour constatation inexacte ou incomplète des faits pertinents (let. b). Devant le Tribunal cantonal, l'inopportunité peut être invoquée si l'affaire concerne le domaine des assurances sociales (art. 78 al. 2 CPJA).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 131 V 71 consid. 5; 126 V 75 consid. 6).</w:t>
      </w:r>
    </w:p>
    <w:p>
      <w:r>
        <w:rPr>
          <w:b/>
        </w:rPr>
        <w:t>E. 2</w:t>
      </w:r>
    </w:p>
    <w:p>
      <w:r>
        <w:t>a) A teneur de l'art. 8 al. 1 LPGA, est réputée invalidité l'incapacité de gain totale ou partielle qui est présumée permanente ou de longue durée. Selon l'art. 4 al. 1 LAI, dite invalidité peut résulter d'une infirmité congénitale, d'une maladie ou d'un accident. b)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Tribunal cantonal TC Page 4 de 9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w:t>
      </w:r>
    </w:p>
    <w:p>
      <w:r>
        <w:rPr>
          <w:b/>
        </w:rPr>
        <w:t>E. 3</w:t>
      </w:r>
    </w:p>
    <w:p>
      <w:r>
        <w:t>a)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En application du principe de la libre appréciation des preuves,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Par ailleurs, l'on ne saurait remettre en cause une expertise ordonnée par l'administration ou un juge et procéder à de nouvelles investigations du seul fait qu'un ou plusieurs médecins traitants ont une opinion contradictoire (arrêt TF 9C_201/2007 du 29 janvier 2008). Conformément à l'art. 59 al. 2, 1ère phr. LAI, les offices AI mettent en place des services médicaux régionaux interdisciplinaires. Selon l'art. 49 du règlement du 17 janvier 1961 sur l'assurance- invalidité (RAI; RS 831.201),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w:t>
      </w:r>
    </w:p>
    <w:p>
      <w:r>
        <w:t>Tribunal cantonal TC Page 5 de 9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b)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Le juge peut renoncer à accomplir certains actes d'instruction, sans que cela n'entraîne une violation du droit d'être entendu, s'il est convaincu, en se fondant sur une appréciation consciencieuse des preuves (voir ATF 125 V 351 consid. 3a), que certains faits présentent un degré de vraisemblance prépondérante et que d'autres mesures probatoires ne pourraient plus modifier cette appréciation (sur l'appréciation anticipée des preuves en général: ATF 140 I 285 consid. 6.3.1 et les références).</w:t>
      </w:r>
    </w:p>
    <w:p>
      <w:r>
        <w:rPr>
          <w:b/>
        </w:rPr>
        <w:t>E. 4</w:t>
      </w:r>
    </w:p>
    <w:p>
      <w:r>
        <w:t>a) En l'occurrence, est litigieuse la question de savoir si l'assuré peut prétendre à une rente de l'AI, question qui dépend d'une appréciation médicale de son état de santé. Il convient dès lors de se référer au dossier médical. L'assuré a subi un remplacement de la valve aortique par une prothèse mécanique St-Jude en 1989. Le 11 mars 2014, en raison d'un anévrysme de l'aorte ascendante, il a subi une nouvelle intervention de chirurgie cardiaque (remplacement de l'aorte ascendante sus-valvulaire et de la crosse aortique par une prothèse avec réimplantation du tronc brachio-céphalique et de la carotide commune gauche; cf. rapport du 14 mars 2014 du Dr E.________, médecin au Service de chirurgie cardiaque de F.________, dossier OAI pce 51 p. 136 s.). Il a été hospitalisé à F.________ du 10 mars 2014 au 20 mars 2014 et transféré par la suite à C.________ le 20 mars 2014 dans un état général encore réduit pour une réadaptation cardiovasculaire qui s'est terminée le 17 avril 2014. Le résultat de cette réadaptation était positif. Selon le rapport de sortie de l'hôpital, il n'existait chez ce patient pas de facteurs de risques cardiovasculaires modifiables connus. Le réentraînement à l'effort a également été satisfaisant (cf. lettre de sortie de C.________ du 25 avril 2014, pce 50 p. 117 ss; cf. également rapport du 7 avril 2017 de F.________, pce 51 p. 123 ss). Le 25 avril 2014, le chirurgien, le Dr E.________, constate que l'assuré s'est lentement remis mais qu'il reste faible avec une tolérance à l'effort limitée (pce 51 p. 127). Le 16 juin 2014, le Dr G.________, spécialisé en médecine interne et médecin traitant, retient un pronostic favorable et une incapacité complète dans la dernière activité exercée du 10 mars 2014 au 10 juillet 2014. Il exclut la possibilité pour le recourant d'exercer des activités nécessitant</w:t>
      </w:r>
    </w:p>
    <w:p>
      <w:r>
        <w:t>Tribunal cantonal TC Page 6 de 9 un port de charge de plus de 10 kg en raison des douleurs au niveau du sternum et celles liées à des efforts intenses. Il mentionne également certaines limitations fonctionnelles; les travaux suivants ont notamment été considérés comme non exigibles: travailler avec les bras au-dessus de la tête; soulever/porter (près/loin du corps); monter sur une échelle/un échafaudage. Par ailleurs, il conseille d'envisager un autre type d'activité que celle exercée jusqu'à présent (pce 54 p. 158 ss). La Dresse H.________, médecin adjointe en réadaptation cardio-vasculaire de C.________ (rapport du 14 juillet 2014), énumère également certaines limitations fonctionnelles, plus précisément l'exclusion de port de charges de plus de 5 à 10 kg; elle ajoute l'impossibilité de travailler en se penchant, en étant accroupi ou agenouillé. Elle indique que la capacité de travail doit être examinée par les médecins traitants (pce 50 p. 113 ss). Le Dr I.________, spécialisé en cardiologie, indique dans sa lettre du 30 juillet 2014 que la reprise d'une activité sans port de charge au-delà de 5 kg tout au moins à 50 % lui paraît nécessaire. Il ajoute qu'une échocardiographie n'a pas mis en évidence de problèmes particuliers (pce 44 p. 99 s.). Le 19 août 2014, sur la base d'un CT thoraco-abdominal, il confirme que le status opératoire paraît stable, mais constate une non-union des deux fragments du manubrium sternal pouvant expliquer éventuellement des douleurs thoracales. Il rappelle que la reprise d'une activité professionnelle doit être clairement favorisée tout en limitant le port de charge à 5 kg (pce 44 p. 98). Le 26 septembre 2014, le Dr E.________ – tout en signalant la présence de douleurs – confirme que, cliniquement, il n'y a pas de signes d'instabilité sternale et que la fracture est stable même si les berges ne sont pas correctement alignées (pce 44 p. 103). Le 25 novembre 2014, après avoir soumis l'assuré à une épreuve d'effort suggérée par le Dr E.________, le Dr I.________ propose au Dr G.________ d'attester une capacité de travail entière (pce 44 p. 94 ss). Dans son rapport du 14 janvier 2015, le Dr G.________ mentionne, outre le problème cardiaque, des diagnostics supplémentaires ayant une influence sur la capacité de travail, notamment un probable asthme, une rhinite chronique, un syndrome d'apnée du sommeil et un syndrome lombo- vertébral récidivant. Il relate que son patient se plaint toujours de douleurs au niveau du sternum depuis son opération et d'une fatigue importante. Selon ce praticien, les investigations ont permis d'écarter une maladie cardiaque à la base des douleurs thoraciques. Il indique que l'état de fatigue est partiellement expliqué par un syndrome d'apnée du sommeil traité par CPAP (cf. également rapport de la Dresse J.________, pneumologue, pce 44 p. 92 s.). Il relève que l'assuré ne souffre pas d'insuffisance cardiaque. Le Dr G.________ note que le patient se sent incapable d'augmenter son temps de travail de 50 % dans son activité actuelle à C.________ (pce 44 p. 90 s). Dans l'annexe à ce rapport, il retient que l'activité habituelle est exigible à 50 % mais qu'une autre activité adaptée est probablement exigible à 100 %, comme par exemple dans la manutention légère en évitant le port de charge de plus de 10 kg ainsi que les lieux froids (pce 43 p. 88 s.). Ce même médecin avait déjà confirmé dans son certificat médical du 7 janvier 2015 que l'assuré était apte à travailler à 100 % dans une activité adaptée en évitant le port de charge supérieure à 10 kg ou des efforts physiques importants (pce 45 p. 106). Le 13 février 2015, il propose qu'une évaluation soit effectuée par les services de l'AI, dès lors que la détermination de la capacité de travail résiduelle lui semble difficile (pce 40 p. 85).</w:t>
      </w:r>
    </w:p>
    <w:p>
      <w:r>
        <w:t>Tribunal cantonal TC Page 7 de 9 Ces pièces ont été soumises au médecin du SMR. Le 9 mars 2015, le Dr K.________, spécialisé en médecine générale, retient qu'une activité adaptée est exigible à 100 % en évitant le port de poids de plus de 10 kg ainsi que le froid (pce 36 p. 77 s.). Dans un rapport médical du 8 avril 2016, le Dr G.________ note – sur la base d'un état de santé stable tout en mentionnant nouvellement un probable trouble de l'adaptation – qu'il semble difficile pour l'assuré d'avoir une activité professionnelle supérieure à 50 % au vu des douleurs lombaires récidivantes, de la dyspnée et d'une fatigue chronique (pce 20 p. 36). En annexe à ce rapport médical, le Dr G.________ indique qu'une autre activité est envisageable, de type manutention légère, en évitant l'exposition aux poussières et au froid, ainsi que le port de charge. Il ne précise pas le taux exigible pour cette activité de substitution (pce 19 p. 34 s.). Le 24 mai 2016, le Dr K.________ du SMR prend position et estime, au vu du dernier rapport précité, qu'une probable diminution de rendement ne dépassant pas 20 % est à prévoir (pce 18 p. 33). A la suite du projet de décision émis par l'OAI, l'interniste traitant demande – par courrier du</w:t>
      </w:r>
    </w:p>
    <w:p>
      <w:r>
        <w:rPr>
          <w:b/>
        </w:rPr>
        <w:t>E. 9</w:t>
      </w:r>
    </w:p>
    <w:p>
      <w:r>
        <w:t>septembre 2016 – que son patient soit examiné par un spécialiste en cardiologie. Se référant aux multiples atteintes à la santé – cardiaques, syndrome d'apnée-hypopnée du sommeil de degré sévère traité par CPAP, asthme léger à modéré, maux de dos –, il estime que la capacité de travail est réduite à 50 % même dans une activité de manutention légère (pce 12 p. 21). b) Amenée à statuer, la Cour de céans relève ce qui suit. L'attention des praticiens s'est concentrée sur l'atteinte qui a justifié l'intervention chirurgicale de 2014. L'opération s'est déroulée sans complication particulière; le cardiologue traitant évoque une situation rassurante, malgré la survenance de douleurs qui ont conduit les spécialistes à mettre en place différents examens, lesquels n'ont toutefois pas mis des problèmes particuliers en évidence. Le cardiologue conclut dès lors à une capacité de travail entière dans une activité de type léger. Quant au généraliste spécialiste en médecine interne, il fait certes mention d'une fatigabilité accrue, mais atteste également la possibilité de poursuivre une activité légère adaptée dans différents rapports (cf. notamment rapports des 7 et 14 janvier 2015). Il confirmait jusqu'alors l'existence d'une pleine capacité de travail dans une activité moins physique, alors qu'elle était considérablement réduite dans l'ancienne activité d'aide-cuisinier. On constate à ce stade que les médecins traitants s'accordaient sur le fait que la situation du recourant était stable et que, malgré certaines limitations (fatigue, capacité d'effort limitée), ils estimaient néanmoins que celui-ci restait en mesure de travailler, à certaines conditions, notamment en évitant des activités nécessitant des efforts ou le port de charges de plus de 5 à</w:t>
      </w:r>
    </w:p>
    <w:p>
      <w:r>
        <w:rPr>
          <w:b/>
        </w:rPr>
        <w:t>E. 10</w:t>
      </w:r>
    </w:p>
    <w:p>
      <w:r>
        <w:t>kg. En cela, le rapport du médecin du SMR du 9 mars 2015 est donc parfaitement en adéquation avec ceux-ci. Dans un rapport ultérieur du 8 avril 2016, le médecin traitant indique qu'il est difficile pour l'assuré d'avoir une activité professionnelle supérieure à 50 % au vu des douleurs lombaires récidivantes, de la dyspnée et d'une fatigue chronique. En ce qui concerne l'exigence d'une activité adaptée, il relève toute une série de limitations fonctionnelles, mais ne mentionne pas expressément la nécessité d'une activité à temps partiel. L'avis du médecin traitant a par la suite été soumis au médecin du SMR qui, pour tenir compte des indications de celui-ci, admet une diminution du rendement de 20 %.</w:t>
      </w:r>
    </w:p>
    <w:p>
      <w:r>
        <w:t>Tribunal cantonal TC Page 8 de 9 Ce n'est que dans le cadre des objections au projet de décision que le médecin traitant est plus explicite et qu'il indique que l'activité légère ne pourra être accomplie qu'à 50 %. Sur un plan strictement médical, il faut bien concéder que les problèmes liés à l'apnée du sommeil ainsi que ceux de dos étaient déjà connus auparavant, sans qu'ils n'influencent alors la capacité de travail attestée par le médecin traitant; en outre, on ne trouve pas d'explication plausible, dans le rapport du Dr G.________, sur la raison qui ferait que l'apnée du sommeil aurait – bien qu'elle est traitée – encore une influence considérable sur la capacité de travail (selon la pneumoloque, l'efficacité du traitement était excellente en 2014; cf. rapport du 1er décembre 2014). Cela vaut également pour l'asthme. En ce qui concerne les problèmes de dos, il faut rappeler qu'aucune analyse ou thérapie concrète ne semble avoir été nécessaire. S'agissant du problème psychique évoqué par le médecin traitant, dont l'existence même est cependant incertaine, on relève que, d'une manière générale, un trouble de l'adaptation n'est pas invalidant. Là encore, aucun traitement n'a été mis en place. Dans ces conditions, on peine à voir qu'une activité de type léger ne devrait pas être possible pour le recourant, malgré ses douleurs dorsales et les limitations fonctionnelles décrites ci-dessus. En outre, le médecin traitant ne motive pas les raisons qui l'ont conduit à sensiblement réduire la capacité de travail dans une activité adaptée de 100 % à 50 %, estimation qu'il jugeait lui-même difficile à faire. Partant, on peut concevoir que le médecin du SMR – qui réduit le rendement à 80 % – a suffisamment tenu compte des éléments soulevés par le médecin traitant. Cela d'autant plus qu'il semble peu plausible que la diminution de la capacité de travail à 50 % telle qu'attestée par le médecin traitant puisse être identique pour une activité considérée comme non adaptée et une activité légère adaptée. La Cour de céans constate que la simple évocation de tels éléments n'est pas de nature à justifier la mise sur pied d'investigations supplémentaires par l'OAI. Ce dernier est certes tenu d'instruire la demande qui lui est soumise, conformément à l'art. 43 LPGA, mais on ne saurait l'obliger à entreprendre des démarches superflues (cf. consid. 3b). En l'espèce, le dossier constitué permet déjà de se forger une opinion solide. A cela s'ajoute – mais sans que ce soit, ainsi que le soutient le recourant, le seul motif – qu'il n'est pas exclu que ce rapport du médecin traitant ait été établi "pour appuyer l'objection" du recourant. En effet, compte tenu de la prudence nécessaire qui s'impose vis-à-vis de l'appréciation effectuée par un médecin traitant, notamment en raison du lien de confiance particulier l'unissant à son patient, cet avis doit être considéré avec une certaine retenue. Finalement, les pièces du dossier mettent en évidence que le recourant a montré un grand intérêt à pouvoir continuer à travailler au sein de C.________. Il ressort de différents entretiens que c'est uniquement dans cette activité d'aide-cuisinier qu'il voyait ses perspectives (cf. rapports du 4 mai 2015 [pce 29 p. 63 ss] et du 12 mai 2015 [pce 26 p. 58]). Même si cette attitude peut paraître compréhensible, il y a cependant lieu de reposer le calcul du taux d'invalidité sur ce qui est exigible de sa part, en tenant ainsi compte de l'obligation d'un assuré de diminuer le dommage. La Cour de céans retient dès lors, sans remettre en cause l'existence et/ou la gravité de l'atteinte cardiaque subie par le recourant, que le dossier constitué par l'autorité intimée est suffisamment complet pour se forger une opinion, sans que des mesures d'instruction complémentaires ne soient nécessaires. On peut ainsi légitimement conclure à une capacité résiduelle de travail conservée dans une activité légère de 100 % avec un rendement réduit à 80 %. c) Quant aux chances de retrouver une activité répondant aux limitations fonctionnelles évoquées – qui ont augmenté selon le recourant et son médecin traitant –, on constate qu'en</w:t>
      </w:r>
    </w:p>
    <w:p>
      <w:r>
        <w:t>Tribunal cantonal TC Page 9 de 9 référence à un marché du travail équilibré, déterminant en matière d'assurance-invalidité, les chances pour lui d'intéresser un employeur sont loin d'être nulles. Rien ne justifie dès lors de s'écarter de ce résultat. 5. La comparaison des revenus – aboutissant à une perte de gain de 7,11 % – n'est pas remise en cause par le recourant, que ce soit sous l'angle du revenu de valide ou de celui d'invalide. La Cour de céans ne voit en principe aucun motif de s'en écarter. Au demeurant, même si on devait procéder à une réduction supplémentaire du salaire d'invalide en raison des limitations fonctionnelles (abattement salarial), on se situerait encore loin de la perte de gain de 40 % ouvrant le droit à une rente. 6. a) Compte tenu de l'ensemble de ce qui précède, la décision rendue par l'OAI peut être confirmée. Le recours doit par conséquent être rejeté. b) Vu l'issue du litige, les frais de procédure sont mis à la charge du recourant qui succombe. Ils sont fixés à CHF 800.- et compensés avec l'avance de frais versée. Pour le même motif, il n'est pas alloué d'indemnité de partie. la Cour arrête: I. Le recours est rejeté. II. Les frais de justice, par CHF 800.-, sont mis à la charge du recourant. Ils sont compensés avec l'avance de frais versée. III. Il n'est pas alloué d'indemnité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octobre 2017/jfr/vth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