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229 vom 5. Oktober 2017</w:t>
      </w:r>
    </w:p>
    <w:p>
      <w:r>
        <w:t>FR Kantonsgericht, 2017-10-05, FR</w:t>
      </w:r>
    </w:p>
    <w:p>
      <w:r>
        <w:rPr>
          <w:b/>
        </w:rPr>
        <w:t xml:space="preserve">Quelle: </w:t>
      </w:r>
      <w:r>
        <w:t>https://mcp.opencaselaw.ch/entscheid/fr_gerichte_608_2016_229</w:t>
      </w:r>
    </w:p>
    <w:p>
      <w:r>
        <w:t>FR: FR_GERICHTE 608 2016 229 du 5 octobre 2017</w:t>
      </w:r>
    </w:p>
    <w:p>
      <w:r>
        <w:t>IT: FR_GERICHTE 608 2016 229 del 5 ottobre 2017</w:t>
      </w:r>
    </w:p>
    <w:p>
      <w:pPr>
        <w:pStyle w:val="Heading2"/>
      </w:pPr>
      <w:r>
        <w:t>Regeste</w:t>
      </w:r>
    </w:p>
    <w:p>
      <w:r>
        <w:t>Arrêt de la IIe Cour des assurances sociales du Tribunal cantonal | Invalidenversicherung</w:t>
      </w:r>
    </w:p>
    <w:p>
      <w:pPr>
        <w:pStyle w:val="Heading2"/>
      </w:pPr>
      <w:r>
        <w:t>Erwägungen</w:t>
      </w:r>
    </w:p>
    <w:p>
      <w:r>
        <w:rPr>
          <w:b/>
        </w:rPr>
        <w:t>E. 47</w:t>
      </w:r>
    </w:p>
    <w:p>
      <w:r>
        <w:t>%, ce qui implique la réduction de la rente à un quart. C. Le 24 octobre 2016, l'assuré, représenté par Me Paolo Ghidoni, interjette recours contre cette décision. Il conclut, sous suite de frais et dépens, à l'annulation de la décision. A l'appui de son recours, il souligne entre autres qu'il a pu continuer à travailler chez son ancien employeur et que sa place de travail a pu être adaptée à son état de santé, de sorte qu'il ne se justifie pas de baisser la rente. L'assuré s'est acquitté d'une avance de frais de CHF 800.- dans le délai imparti. D. Dans ses observations du 2 décembre 2016, l'OAI conclut au rejet du recours. Il estime que le recourant a gravement violé son obligation de collaborer en refusant de suivre un reclassement professionnel. Ce comportement justifie selon l'autorité de procéder à un calcul du degré d'invalidité qui se base sur une capacité de travail de 50 % dans une activité adaptée. Elle explique que le revenu hypothétique que l'assuré pourrait en tirer fait baisser la perte de gain de 50 % à 47 % seulement. Le recourant a déposé ses contre-observations le 15 mars 2017. Il indique que les activités qu'il exerce pour son employeur ont considérablement changé au cours des dernières années. Il précise en particulier que, depuis la signature du nouveau contrat avec son employeur survenue en décembre 2015, il n'effectue plus que 20 % dans l'activité d'inséminateur, le solde du travail restant, soit le 30 %, étant un travail de bureau. L'OAI a renoncé à se déterminer à ce sujet par courrier du 11 avril 2017. Le Fonds interprofessionnel de prévoyance, appelé à se prononcer sur le recours, n'a pas réagi. Il sera fait état des arguments, développés par les parties à l'appui de leurs conclusions, dans les considérants en droit du présent arrêt, pour autant que cela soit utile à la solution du litige.</w:t>
      </w:r>
    </w:p>
    <w:p>
      <w:r>
        <w:t>Tribunal cantonal TC Page 3 de 6 en droit 1. Interjeté en temps utile et dans les formes légales auprès de l'autorité judiciaire compétente par un assuré directement touché par la décision attaquée et dûment représenté, le recours est recevable. 2. 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(art. 28 al. 1 LAI).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(art. 28 al. 2 LAI). 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qui correspond au travail effectivement fourni, ne contient pas d'élément de salaire social, c'est le revenu effectivement réalisé qui doit être pris en compte pour fixer le revenu d'invalide (arrêt TF I 881/06 du 9 octobre 2007 consid. 5.4; ATF 126 V 75 consid. 3b/aa; 117 V 8 consid. 2c/aa et les références citées).</w:t>
      </w:r>
    </w:p>
    <w:p>
      <w:r>
        <w:t>Tribunal cantonal TC Page 4 de 6 En l'absence d'un revenu effectivement réalisé – soit lorsque l'assuré, après la survenance de l'atteinte à la santé, n'a pas repris d'activité ou alors aucune activité adaptée, normalement exigible –, le revenu d'invalide doit être évalué sur la base de l'Enquête suisse sur la structure des salaires (ESS) (ATF 126 V 75; 124 V 321 consid. 3b/aa). A cet égard, il convient en principe de se référer au salaire mensuel brut (valeur centrale) pour tous les secteurs économiques confondus de l'économie privée (RAMA 2001 n°U 439 p. 347).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(arrêt TF 8C_771/2011 du 15 novembre 2012 consid. 3). Doivent notamment être pris en compte l'importance de la capacité résiduelle de travail, ainsi que les facteurs personnels tels que l'âge, la situation professionnelle concrète ou encore l'attachement au lieu de domicile, l'existence d'un marché du travail équilibré et la durée prévisible des rapports de travail (arrêt TF 9C_578/2009 du 29 décembre 2009 consid. 4).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Une simple appréciation différente d'un état de fait, qui pour l'essentiel est demeuré inchangé, n'appelle en revanche pas une révision au sens de l'art. 17 LPGA (ATF 112 V 371 consid. 2b). Une simple réévaluation des conditions relatives à l'invalidité ne suffit certes pas pour réduire une rente par voie de révision; cette conception repose toutefois sur la condition que la première fixation de la rente soit intervenue sur la base d'un dossier approfondi en ce qui concerne les faits.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En revanche, si l'administration a alloué une rente sur la base d'un dossier incomplet (par exemple en se référant à un traitement médical encore en cours), l'art. 17 LPGA n'exclut pas une instruction ultérieure plus approfondie de la situation et, sur la base des résultats de cette instruction, une nouvelle décision sur le droit actuel aux prestations (arrêt TF 9C_342/2008 du 20 novembre 2008 consid. 3.2).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w:t>
      </w:r>
    </w:p>
    <w:p>
      <w:r>
        <w:t>Tribunal cantonal TC Page 5 de 6 3. En l'espèce, la dernière décision ayant procédé à un examen matériel du droit à la rente est la décision initiale d'octroi de rente. Les parties s'accordent sur le fait que l'état de santé de l'assuré s'est aggravé dans le sens où une activité d'inséminateur à 50 % n'est plus exigible, ce qui ressort également du rapport d'expertise du Dr C.________ du 18 août 2015. Selon cet expert, un nouvel emploi devrait être parfaitement adapté aux limitations fonctionnelles importantes du recourant. Il relate des diagnostics supplémentaires liés à une augmentation des douleurs, soit: cervico-brachialgies bilatérales, uncarthrose droite C4-C5, uncarthrose gauche C5-C6. C'est donc à juste titre qu'on a réexaminé le droit de l'assuré à la rente. Cela dit, les parties se prononcent en grande partie sur des aspects qui ne sont aucunement pertinents pour la solution du cas. En effet, pour déterminer le revenu d'invalide, l'autorité se réfère à un salaire statistique qui tient compte de la formation du recourant ainsi que d'un taux d'occupation de 50 % dans une activité adaptée. Elle s'est dès lors distanciée du salaire que le recourant obtient auprès de son employeur (cf. contrat de travail de décembre 2015). Comme précisé ci-dessus, le revenu d'invalide que l'assuré touche en exerçant une activité est déterminant pour calculer le degré d'invalidité dans la mesure où celui-ci met pleinement en valeur sa capacité résiduelle de travail. Si tel n'est pas le cas, il convient en revanche d'examiner si un assuré peut être tenu de changer d'activité. Cette question doit être examinée à la lumière des circonstances concrètes du cas (cf. par ex. arrêts TC FR 608 2013 94 du 23 juillet 2015 et 608 2013 127 du 21 septembre 2015). Dans la présente occurrence, le recourant exploite entièrement sa capacité résiduelle de travail de</w:t>
      </w:r>
    </w:p>
    <w:p>
      <w:r>
        <w:rPr>
          <w:b/>
        </w:rPr>
        <w:t>E. 50</w:t>
      </w:r>
    </w:p>
    <w:p>
      <w:r>
        <w:t>% auprès de son ancien employeur et ne touche pas un salaire social. Partant, le calcul de son taux d’invalidité doit se faire sur la base des revenus effectivement réalisés et le taux d’invalidité reste inchangé par rapport à la période antérieure à l’aggravation de l’état de santé. Dans sa situation concrète, où le taux d'occupation est réduit, où les limitations fonctionnelles sont importantes, où le recourant a pu trouver une solution avec l'employeur pour lequel il travaille depuis de nombreuses années et dans le domaine dans lequel il a été formé, où il travaille à 50 % tel qu'attesté par l'expert, où le nouveau contrat auprès du même employeur le fait bénéficier des conditions d'ancienneté dans l'entreprise (notamment pour la LPP, pour la protection contre les congés ou pour le versement du salaire en cas de maladie) et où un hypothétique autre employeur devrait faire preuve d'une importante compréhension, les conditions ne sont de toute évidence pas réunies pour exiger que l'assuré quitte son employeur pour se retrouver avec de grandes chances – eu égard à la situation sur le marché du travail – au chômage. On note dans ce contexte que, même si le recourant quittait son travail, il subirait toujours une importante perte de gain de 47 %, soit 3 % en-dessous de la limite qui lui offre le droit à une demi-rente. Puisque les statistiques ne représentent qu'une valeur moyenne et que les salaires réellement payés peuvent se situer en-dessous de cette valeur, on peut s'imaginer qu'il n'est même pas certain qu'une nouvelle place de travail puisse faire profiter le recourant d'un salaire qui exclut le droit à la demi-rente. A cela s'ajoute que, dans son calcul hypothétique, l'OAI n'a pas non plus tenu compte d'un abattement salarial malgré les importantes limitations fonctionnelles relevées par l'expert. Sur la base de ce qui vient d'être exposé, l'aggravation de l'état de santé ne conduit pas à l'augmentation du revenu d'invalide et ne saurait justifier une baisse de la demi-rente à un quart de rente telle que décidée par l'autorité.</w:t>
      </w:r>
    </w:p>
    <w:p>
      <w:r>
        <w:t>Tribunal cantonal TC Page 6 de 6 Les contestations en lien avec l'obligation de suivre un stage auprès de l'ORIF, l'exigibilité médicale d'une telle mesure et les reproches d'une collaboration défaillante faits au recourant par l'autorité en lien avec celle-ci ne sont manifestement pas aptes à influencer ce résultat. 4. a) Au vu de ce qui précède, le recours doit être admis. La décision attaquée est purement et simplement annulée. b) La procédure n'étant pas gratuite, les frais de justice sont fixés à CHF 800.- et sont mis à la charge de l'autorité intimée qui succombe. L'avance de frais est restituée au recourant. c) Ayant obtenu gain de cause, le recourant a droit à des dépens. Son mandataire a produit sa liste de frais le 28 septembre 2017. Compte tenu du fait que celle-ci comprend des prestations effectuées avant que la décision litigieuse ne soit rendue et au vu du temps nécessaire à la défense du recourant – les quelques 26 heures requises pour le travail accompli depuis la décision contestée n'étant manifestement pas en proportion avec la relative complexité de l'affaire –, il se justifie d'arrêter l'indemnité de partie à un montant de CHF 2'500.-, ce qui équivaut à 10 heures de travail. A ce montant s'ajoute la TVA à 8 %, de sorte qu'un montant total de CHF 2'700.- est mis à la charge de l'autorité intimée. la Cour arrête: I. Le recours est admis et la décision attaquée du 23 septembre 2016 est annulée. II. Les frais de la procédure, par CHF 800.-, sont mis à la charge de l'autorité intimée; l'avance de frais de CHF 800.- est restituée au recourant. III. L'indemnité de partie allouée à Me Paolo Ghidoni est fixée à CHF 2’500.-, plus CHF 200.- au titre de la TVA à 8 %, soit un total de CHF 2'700.-. Elle est intégralement mise à la charge de l'Office de l’assurance-invalidité du canton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octobre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