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197 vom 5. September 2017</w:t>
      </w:r>
    </w:p>
    <w:p>
      <w:r>
        <w:t>FR Kantonsgericht, 2017-09-05, FR</w:t>
      </w:r>
    </w:p>
    <w:p>
      <w:r>
        <w:rPr>
          <w:b/>
        </w:rPr>
        <w:t xml:space="preserve">Quelle: </w:t>
      </w:r>
      <w:r>
        <w:t>https://mcp.opencaselaw.ch/entscheid/fr_gerichte_608_2016_197</w:t>
      </w:r>
    </w:p>
    <w:p>
      <w:r>
        <w:t>FR: FR_GERICHTE 608 2016 197 du 5 septembre 2017</w:t>
      </w:r>
    </w:p>
    <w:p>
      <w:r>
        <w:t>IT: FR_GERICHTE 608 2016 197 del 5 settembre 2017</w:t>
      </w:r>
    </w:p>
    <w:p>
      <w:pPr>
        <w:pStyle w:val="Heading2"/>
      </w:pPr>
      <w:r>
        <w:t>Regeste</w:t>
      </w:r>
    </w:p>
    <w:p>
      <w:r>
        <w:t>Arrêt de la IIe Cour des assurances sociales du Tribunal cantonal | Invalidenversicherung</w:t>
      </w:r>
    </w:p>
    <w:p>
      <w:pPr>
        <w:pStyle w:val="Heading2"/>
      </w:pPr>
      <w:r>
        <w:t>Erwägungen</w:t>
      </w:r>
    </w:p>
    <w:p>
      <w:r>
        <w:rPr>
          <w:b/>
        </w:rPr>
        <w:t>E. 13</w:t>
      </w:r>
    </w:p>
    <w:p>
      <w:r>
        <w:t>avril 2017, la recourante conteste les constats tirés du rapport d'enquête domiciliaire, relevant en particulier qu'elle est plus lente, qu'elle souffre de vertiges, qu'elle subit des tremblements en raison de la médication et que ses douleurs lui imposent de souvent se coucher. A son avis, ces limitations justifient un empêchement ménager supérieur à celui retenu. Ensuite, elle se réfère à ses premières déclarations selon lesquelles elle travaillerait à un taux de 80%. Enfin, renvoyant à un arrêt rendu par la Cour européenne des droits de l'homme, elle conteste l'application de la méthode mixte et demande de ne tenir compte du temps partiel que dans le cadre de la pondération. Dans ses ultimes remarques du 18 juillet 2017, l'OAI campe sur sa position, relevant notamment qu'il lui semble téméraire d'affirmer que la recourante travaillerait à 80% alors qu'elle n'a jamais</w:t>
      </w:r>
    </w:p>
    <w:p>
      <w:r>
        <w:t>Tribunal cantonal TC Page 3 de 11 exercé d'activité lucrative. Elle y joint une prise de position de son service externe, lequel a été chargé de l'enquête domiciliaire. Le 15 août 2017, l'assurée s'est spontanément déterminée sur les ultimes remarques de l'OAI. Aucun autre échange d'écritures n'a été ordonné entre les parties.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b)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c) L'évaluation du taux d'invalidité se fait sur la base de quatre méthodes dont l'application dépend du statut du bénéficiaire potentiel de la rente, la méthode ordinaire, la méthode spécifique, la méthode mixte et la méthode extraordinaire.</w:t>
      </w:r>
    </w:p>
    <w:p>
      <w:r>
        <w:t>Tribunal cantonal TC Page 4 de 11 aa)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(cf. arrêt TF 9C_267/2012 du 26 novembre 2012 consid. 3.2 et les références). bb)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w:t>
      </w:r>
    </w:p>
    <w:p>
      <w:r>
        <w:t>Tribunal cantonal TC Page 5 de 11 La méthode mixte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3.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w:t>
      </w:r>
    </w:p>
    <w:p>
      <w:r>
        <w:t>Tribunal cantonal TC Page 6 de 11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c) L'art. 69 al. 2 du règlement du 17 janvier 1961 sur l'assurance-invalidité (RAI; RS 831.201) prévoit, comme mesure d'instruction, la possibilité pour l'autorité de réaliser une visite domiciliaire. Telle est la possibilité, notamment, lorsqu'il s'agit d'assurés qui s'occupent du ménage (cf. Circulaire de l'OFAS sur l’invalidité et l’impotence dans l’assurance-invalidité; ci-après: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I 685/02 du 28 février 2003 consid. 3.2).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TF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4. Dans un premier moyen, la recourante remet en cause le choix de la méthode mixte ainsi que le partage des tâches pris en compte (60% lucratif, 40% ménager). a) Lorsqu'une assurée exerce à la fois une activité lucrative à temps partiel et s'occupe du ménage, la méthode dite mixte d'évaluation du taux d'invalidité trouve application. On doit convenir que dans son arrêt n° 7186/09 Di Trizio c. Suisse du 2 février 2016, la CourEDH a affirmé que "pour la grande majorité des femmes souhaitant travailler à temps partiel à la suite de la naissance d'un enfant, la méthode mixte s'avère discriminatoire" (ch. 97). Toutefois, on ne saurait reprendre les considérants de la CourEDH sans, pour autant, les placer dans leur contexte qu'était l'objet du litige. Dans le cas soumis à l'appréciation de la CourEDH, la recourante s'était initialement vu octroyer une demi-rente en application de la méthode ordinaire de comparaison des revenus. Cette demi-rente avait ensuite été supprimée par application de la méthode mixte alors même que l'état de santé n'avait pas évolué. Partant, la suppression de la demi-rente n'était manifestement pas liée à une amélioration de l'état de santé de la recourante, mais découlait au contraire exclusivement de l’application nouvelle – ensuite de la naissance du dernier enfant de la recourante – de la méthode mixte.</w:t>
      </w:r>
    </w:p>
    <w:p>
      <w:r>
        <w:t>Tribunal cantonal TC Page 7 de 11 En l'espèce, il s'agit d'une première demande. La procédure ne relève pas de l'octroi d'une rente suivi de la suppression de celle-ci à la suite d'une modification notable des circonstances (liée à la naissance d'un enfant et de l'intention, en conséquence, de travailler à temps partiel). Pour ces motifs, il n'y a pas de discrimination, contrairement à l'affaire tranchée par la CourEDH. A ce stade, il convient de souligner que la méthode proposée par la recourante – qu'elle affirme être la "nouvelle méthode de calcul" – ne figure dans aucune loi ou jurisprudence. Tout au plus peut-on relever que la recourante fait partiellement référence à une version provisoire du RAI, la procédure de consultation s'étant achevée le 11 septembre 2017. Le Conseil fédéral y propose que la détermination du degré d'invalidité se base sur une activité lucrative et ménagère à temps plein. L'entrée en vigueur de cette modification du RAI, laquelle fait suite à l'arrêt Di Trizio précité, est prévue pour le 1er janvier 2018 (cf. rapport explicatif relatif à la modification du RAI). L'application d'une disposition légale qui n'en est qu'au stade de la procédure de consultation ne saurait en aucun cas être anticipée. b) Dans la décision litigieuse, l'autorité intimée a considéré que la recourante partagerait 60% de son temps dans une activité lucrative et 40% dans les travaux ménagers. On doit d'emblée constater que ce taux ne ressort d'aucune pièce du dossier et les raisons de sa prise en compte ne sont également pas explicitées par l'autorité intimée. Il pourrait ainsi autant découler d'une inversion des taux qui ressortent de l'enquête domiciliaire du 25 avril 2016 (40% lucratif, 60% ménager) que d'une moyenne de ce dernier taux de 40% avec celui de 80% mentionné lors d'un entretien du 22 octobre 2014. En outre, si l'assurée a effectivement soutenu à l'inspectrice en charge de l'enquête domiciliaire du 25 avril 2016 qu'elle irait travailler à un taux de 40%, il est peu probable que ce taux fasse référence à ce qu'elle ferait si elle était en santé. En effet, il est ensuite indiqué que "lors de l'enquête elle informe qu'elle a essayé de trouver un travail, mais les horaires de crèche de sa fille [ont] limité les offres d'emploi. Elle cherchait entre 20-40%" (dossier OAI, p. 135). Ainsi, la recourante semble surtout avoir fait référence à ses recherches d'emploi alors que sa capacité de travail était probablement déjà limitée, sa fille étant née, plutôt qu'à son taux d'emploi sans atteinte à la santé. Enfin, on ne saurait inférer du fait que la recourante n'a jamais exercé d'activité lucrative – ce qui n'est, et cela n'est pas contesté, pas lié à sa maladie – que sans atteinte à la santé, elle travaillerait à temps partiel. Tout au plus, cela attesterait de son souhait de ne pas travailler et justifierait l'usage de la méthode dite spécifique, applicable aux assurés non actifs. Dans ces circonstances, il n'est nullement rendu vraisemblable qu'en santé, la recourante travaillerait à un taux de 60%. Sur ce point précis, la recourante soutient qu'il ne faut pas retenir un pourcentage de 60%, mais un pourcentage de 80%. Elle se réfère à ses premières déclarations en relation avec cette problématique. En effet, lors d'un entretien du 22 octobre 2014, elle avait indiqué qu'en santé, elle travaillerait à un taux de 80%, voire 100%, même si elle admettait que ce serait difficile dès lors qu'elle n'a jamais travaillé et que seuls deux demi-jours de crèches sont pris en charge par le service social (dossier OAI, p. 85). La recourante relève encore que sa situation financière ne lui aurait pas permis de se contenter d'un</w:t>
      </w:r>
    </w:p>
    <w:p>
      <w:r>
        <w:t>Tribunal cantonal TC Page 8 de 11 60%. Selon elle, ce dernier taux la laisserait au demeurant dépendre des services sociaux lesquels l'encourageraient à travailler à un taux supérieur. En référence à la jurisprudence dite des premières déclarations, il convient de se référer au taux de 80% mentionnés lors de l'entretien du 22 octobre 2014. Cela n'a, au demeurant, aucune incidence sur le droit à la rente ici litigieux comme on le verra. 5. Il convient ensuite d'évaluer le degré d'invalidité de la recourante, d'abord dans la partie dite "activité lucrative". a) La capacité de travail de 50% retenue par l'autorité intimée dans la décision ici litigieuse n'est pas remise en cause et découle des rapports médicaux figurant au dossier. Dans son rapport du 26 août 2015, le Dr C.________, spécialiste FMH en médecine interne générale et en néphrologie, soutient en effet que "la patiente ne peut en aucun cas exercer des activités physiques nécessitant de porter des charges lourdes ou associées à des risques de choc. Le traitement par Evérolimus la rend également très fatiguée et diminue sa capacité de travail estimée à environ 50% avec restriction" (dossier OAI, p. 118). C'est également le taux retenu par le Dr D.________, spécialiste FMH en médecine interne générale et en néphrologie, dans son rapport du 16 juillet 2014 (dossier OAI, p. 66). b) Partant, c'est à juste titre que l'autorité intimée s'est référée au salaire moyen du secteur privé selon les chiffres de l'Enquête Suisse sur la structure des salaires 2012 (CHF 4'112.-; ESS 2012, TA1_skill_level, total, niveau de compétence 1, femmes). Dès lors que l'ESS comprend un large éventail d'activités, on peut admettre qu'un nombre significatif d'entre elles est adapté à ses aptitudes dans un marché du travail équilibré (cf. arrêt TF I 312/04 du 28 juillet 2005 consid. 3.2.1). L'absence de formation professionnelle de la recourante est quand à elle prise en compte dans le cadre du niveau de compétence 1. En effet, l'ESS 2012 différencie quatre niveaux de compétence et, en principe, le niveau 1 vise des personnes n'ayant pas de formation. Le montant de CHF 4'112.- est calculé sur la base d'une durée de travail hebdomadaire de 40 heures alors que la durée usuelle du travail est de 41.7 heures (CHF 4'286.75). En outre, il convient de tenir compte de l'évolution des salaires jusqu'en 2015, derniers chiffres à disposition (OFS, tableau T39). Cela correspond à un montant de CHF 4'364.35, soit CHF 52'372.20. S'agissant d'une activité à 50%, cela correspond à un revenu de CHF 26'186.10. Ce montant peut être retenu comme salaire d'invalide. c) La recourante n'a jamais exercé d'activité lucrative de sorte qu'il convient de se référer également aux chiffres de l'ESS 2012 s'agissant de l'activité de valide. En l'absence de formation, la recourante aurait vraisemblablement exercé une activité non qualifiée ce qui justifie de se référer également au salaire moyen du secteur privé (CHF 4'112.-; ESS 2012, TA1_skill_level, total, niveau de compétence 1, femmes). Comme relevé ci-avant (consid. 5a), pour un temps plein, cela correspond à un montant de CHF 4'364.35, soit CHF 52'372.20. Compte tenu du taux réduit de 80%, le salaire de valide est fixé à CHF 41'897.75. d) Il ressort de la comparaison des revenus avec et sans invalidité une perte de gain se montant à CHF 15'711.65 (CHF 41'897.75 – CHF 26'186.10). Contrairement à ce qu'a retenu l'OAI, cette perte de gain représente un degré d'invalidité de 37.5%.</w:t>
      </w:r>
    </w:p>
    <w:p>
      <w:r>
        <w:t>Tribunal cantonal TC Page 9 de 11 6. Il convient encore d'évaluer la capacité de la recourante d'accomplir les travaux habituels. Dans la décision litigieuse, seule la rubrique "soins aux enfants" (pondéré à 30%) prend en compte un empêchement de 10%. Aucune limitation n'est mentionnée dans les autres rubriques, "conduite du ménage" (pondéré à 5%), "alimentation" (pondéré à 27%), "entretien du logement" (pondéré à 14%), "emplettes et courses diverses" (pondéré à 8%), "lessive et entretien des vêtements" (pondéré à 8%) et "divers" (pondéré à 8%). Cela correspond à une invalidité de 3% dans l'activité ménagère. Cette estimation se fonde sur les constats de l'enquête domiciliaire du 25 avril 2016 (dossier OAI, p. 135). La recourante conteste ces conclusions. Elle soutient d'abord que c'est à tort que l'enquêtrice a indiqué qu'elle était divorcée, n'ayant jamais été mariée et regrette qu'il n'ait pas été pris en compte qu'elle travaille avec une vitesse réduite et qu'elle souffre de vertiges. Elle indique encore ne pas être en mesure d'exercer les activités nécessitant une motricité fine en raison de tremblements et que les douleurs et sa fatigue la limitent dans les activités et les soins à sa fille. Enfin, elle relève qu'elle ne peut pas tenir de programme chargé. Ces critiques ne permettent pourtant pas de remettre en cause l'évaluation de l'invalidité. On peut d'emblée relever que le statut matrimonial n'a aucune influence en l'espèce: il n'est aucunement contesté que la recourante ne reçoit aucune aide du père de son enfant, ni même de quelconques proches. En outre, les critiques de la recourante sont très générales. Elles peuvent être résumées par le fait qu'elle exécute les tâches à vitesse réduite en raison de pauses, de sa fatigue ou de ses douleurs. Une telle limitation ressort également d'autres pièces du dossier, et notamment des rapports médicaux lesquels soulignent que le rendement est diminué (dossier OAI, p. 66 et 118). Toutefois, on peut exiger de la recourante qu'elle organise son travail si elle n'est en mesure que de l'accomplir avec lenteur ou difficulté (ATF 133 V 504 consid. 4.2; arrêt TF I 761/81 du</w:t>
      </w:r>
    </w:p>
    <w:p>
      <w:r>
        <w:rPr>
          <w:b/>
        </w:rPr>
        <w:t>E. 15</w:t>
      </w:r>
    </w:p>
    <w:p>
      <w:r>
        <w:t>septembre 1983 consid. 5 in RCC 1984 p. 143 s.). Le seul fait qu'une tâche soit exécutée plus lentement ne suffit pas pour retenir l'existence de limitations. Cela étant, s'agissant de la "conduite du ménage", il appert que la recourante bénéficie de l'aide d'une curatrice depuis décembre 2014 (dossier OAI, p. 86). Aux dires de la recourante, cette dernière a été nommée à se demande en vue d'éponger des dettes contractées par des tiers qui ont utilisé son passeport (dossier OAI, p. 85). Il ne semble dès lors pas y avoir de limitation sur ce plan. Un empêchement de 10% a été retenu dans la rubrique "soins aux enfants" alors même que l'enquêtrice a relevé que la recourante ne rencontre pas de difficulté majeure dans ce domaine, si ce n'est qu'elle "veille à modérer ses réactions face à sa fille". Les avis médicaux ne permettent pas non plus de retenir l'existence de limitations particulières dans ce domaine (dossier OAI, p. 66 et 118). Dans la mesure où cela est favorable à l'évaluation du degré d'invalidité de la recourante, il n'est pas nécessaire d'y revenir. Enfin, quant aux rubriques "alimentation", "entretien du logement", "emplettes et courses diverses", "lessive et entretien des vêtements" et "divers", il n'est nullement soutenu que la recourante n'est pas en mesure de faire les tâches en rapport avec l'alimentation, mais uniquement avec une</w:t>
      </w:r>
    </w:p>
    <w:p>
      <w:r>
        <w:t>Tribunal cantonal TC Page 10 de 11 vitesse réduite ou selon une autre organisation du temps. Quand bien même cela peut paraître sévère, ces démarches peuvent être exigées de sa part. Partant, comme l'a retenu l'autorité intimée, le degré d'invalidité est de 3% dans l'activité ménagère. Pondéré au taux d'emploi de 20%, cela correspond à un empêchement de 0.6%. Ainsi, cumulé à l'empêchement reconnu dans l'activité lucrative (37.5% pondéré à 80%), cela correspond à un degré d'invalidité de 30.6%, soit 31%. L'atteinte à la santé ne présente pas un degré de gravité suffisant pour lui reconnaître un caractère invalidant justifiant le versement d'une rente. Au demeurant, même si la Cour devait retenir l'existence d'empêchements de l'ordre de 10% à 30% dans chaque poste de l'activité ménagère – ce qui semble une estimation large au vu des restrictions alléguées et eu égard au principe général de diminution du dommage –, le degré d'invalidité global demeurerait inférieur aux 40% nécessaire pour que la recourante se voie octroyer une quart de rente. S'agissant d'un recours interjeté contre un refus de rente, il n'appartient pas à la Cour d'ordonner la mise sur pieds d'éventuelles mesures de réadaptation comme semble implicitement le demander la recourante dans les déterminations du 15 août 2017. En effet, seul le dispositif peut faire l’objet d’un recours, puisque seul ce dernier acquiert force de chose jugée, à l’exclusion des motifs (arrêt TF 1C_538/2008 du 16 avril 2009 consid. 3; cf. ég. ATF 131 II 587 consid. 4.2.1; ATF 125 V 339 consid. 4a; 120 V 233 consid. 1a; arrêts TF 1P.551/2003 du 9 mars 2004 consid. 3.1). 7. La recourante a sollicité l'octroi de l'assistance judiciaire partielle (608 2016 198) dans la procédure de recours (608 2016 197).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b) En l'espèce, il y a lieu d'admettre que le recours contre la décision du 18 août 2016 ne paraissait pas d'emblée voué à l'échec. Par ailleurs, la recourante est soutenue par le Service de l'aide sociale de sa commune de domicile. Dans ces circonstances et sans de plus amples démonstrations, la condition de l'indigence est en l'occurrence vraisemblablement remplie. Il convient ainsi de mettre la recourante au bénéfice de l'assistance judiciaire gratuite partielle dans le cadre de la procédure de recours. 8. Le recours (608 2016 197), mal fondé, doit être rejeté et la décision querellée confirmée. Pour sa part, la requête (608 2016 198) d'assistance judiciaire gratuite partielle est admise.</w:t>
      </w:r>
    </w:p>
    <w:p>
      <w:r>
        <w:t>Tribunal cantonal TC Page 11 de 11 Des frais de justice, fixés à CHF 800.-, sont mis à la charge de la recourante mais ne sont, pour cette dernière raison, pas exigés d'elle. Il n'est pas octroyé de dépens. la Cour arrête: I. Le recours (608 2016 197) est rejeté. II. La requête (608 2016 198) d'assistance judiciaire gratuite partielle est admise. III. Des frais de justice, fixés à CHF 800.-, sont mis à la charge de la recourante; ils ne sont pas exigés en raison de l'assistance judiciaire partielle octroyée.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2017/pte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