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187 vom 2. März 2017</w:t>
      </w:r>
    </w:p>
    <w:p>
      <w:r>
        <w:t>FR Kantonsgericht, 2017-03-02, FR</w:t>
      </w:r>
    </w:p>
    <w:p>
      <w:r>
        <w:rPr>
          <w:b/>
        </w:rPr>
        <w:t xml:space="preserve">Quelle: </w:t>
      </w:r>
      <w:r>
        <w:t>https://mcp.opencaselaw.ch/entscheid/fr_gerichte_608_2016_187</w:t>
      </w:r>
    </w:p>
    <w:p>
      <w:r>
        <w:t>FR: FR_GERICHTE 608 2016 187 du 2 mars 2017</w:t>
      </w:r>
    </w:p>
    <w:p>
      <w:r>
        <w:t>IT: FR_GERICHTE 608 2016 187 del 2 marzo 2017</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l'assurance-invalidité (LAI; RS 831.20), si le taux d'invalidité du bénéficiaire de la rente subit une modification notable, la rente est, d'office ou sur demande, révisée pour l'avenir, à savoir augmentée ou réduite en conséquence, ou encore supprimée;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lorsqu'il dépose une nouvelle demande, l'assuré doit ainsi rendre plausible une modification notable des faits déterminants influant sur le droit aux prestations (cf. ATF 130 V 64 consid. 5.2.5; 130 V 71 consid. 2.2);</w:t>
      </w:r>
    </w:p>
    <w:p>
      <w:r>
        <w:t>Tribunal cantonal TC Page 4 de 7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ATF 133 V 108 consid. 5.3);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que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9C_789/2012 précité consid. 2.2 et les réf.); que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I 896/05 précité consid. 3.4.1); que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t>Tribunal cantonal TC Page 5 de 7 qu'en l'espèce, le nouveau formulaire de demande de prestations AI n'est accompagné d'aucun rapport médical récent des médecins qu'il mentionne; qu'y sont relatées, en définitive, les mêmes plaintes et atteintes (par exemple: fibromyalgie) qui furent médicalement appréciées lors de la première demande de prestations AI, laquelle s'était conclue par la constatation d'une absence de toute atteinte invalidante; qu'il y est de plus insisté – et dans les pièces subséquemment déposées également – sur le fait que l'atteinte à la santé alléguée serait (uniquement) la conséquence d'un accident de la circulation en 2006, soit, en tout état de cause, un évènement survenu avant même le dépôt de la première demande de prestations de l'AI et dont les éventuelles conséquences sur l'état de santé et la capacité de gain purent donc être dûment appréciées dans le cadre de l'instruction menée, singulièrement lors de l'expertise bidisciplinaire de 2009; que, dit autrement, le fait de mettre l'accent sur un accident qui serait survenu en 2006 déjà n'est nullement susceptible de rendre plausible une aggravation significative de l'état de santé intervenue ultérieurement à la décision matérielle du 29 avril 2010, entrée en force; qu'en définitive, la seule pièce médicale présentée avec la nouvelle demande en relation avec les plaintes et atteintes déjà alléguées auparavant est le rapport (succinct) d'un chirurgien orthopédique du 4 mars 2011 (dos. OAI 103), comportant le diagnostic de cervicalgies accompagnées d'une hernie discale C5-C6 paramédiane gauche, atteinte déjà médicalement évaluée dans la première procédure de l'AI – il est d'ailleurs indiqué qu'elle est connue depuis 2006 –; il en va de même des plaintes rapportées (douleurs diffuses bilatérales, paresthésie dans les deux MS); qui plus est, ce rapport ne mentionne aucune incapacité de travail résultant des diagnostics posés, ni une quelconque aggravation (notable) intervenue depuis 2010 (ou même 2006); que s'agissant des autres pièces médicales déposées avec le nouveau formulaire de demande, elle ne font état de nulle plainte ou douleur découlant des accidents et de la problématique passés – il est tout au plus rapporté un status post AVP (accident sur la voie publique) en 2006 (cf. rapport du 21 janvier 2015; nulle mention de l'accident de 2008); un bon état général est aussi relevé dans certaines pièces (cf. ainsi rapport précité), de même que, par exemple, une absence de réponse négative à des test d'effort; de fait, pour l'essentiel, ces pièces traitent d'une problématique thyroïdienne n'engendrant aucune incapacité de travail, ni ne nécessitant un traitement (même médicamenteux); de même, n'a eu aucune incidence médicalement attestée la chute en arrière avec réception sur l'épaule gauche qu'indique avoir connue l'assurée le 12 janvier 2015 (également, absence de fracture ou lésion osseuse traumatique du nez selon le rapport du 30 mars 2015); que c'est dès lors manifestement à raison que dans son avis du 18 janvier 2016, qui ne constitue pas une entrée en matière (cf. arrêt du TF 9C_789/2012 du 27 juillet 2013 consid. 3.2), le médecin du SMR put considérer qu'aucune modification de l'état de santé déterminante n'a été attestée ou rendue plausible depuis 2010; qu'aucun document médical ne fut produit après que l'OAI eut rendu son projet de refus d'entrer en matière du 9 mai 2016, dans lequel était donné un délai pour présenter des éléments propres à rendre plausible l'aggravation essentielle depuis la décision de 2010;</w:t>
      </w:r>
    </w:p>
    <w:p>
      <w:r>
        <w:t>Tribunal cantonal TC Page 6 de 7 que la seule pièce dont la date, du 29 juin 2016, est antérieure à celle de la décision attaquée du 4 juillet 2016 n'a toutefois été déposée auprès de l'OAI qu'après dite décision, dans le cadre du recours; qui plus est, ce certificat médical du psychiatre traitant ne constitue nullement un rapport circonstancié, mais ne comporte qu'une attestation d'une incapacité totale de travail depuis le 1er juin 2016; il est impropre à rendre plausible une aggravation déterminante de l'état de santé – dans son rapport du 30 août 2016, adressé cette fois directement à l'office, il est précisé que le suivi psychiatrique existe depuis le 29 juin 2016; que toutes les pièces datées et produites ultérieurement à la décision attaquée, dans le cadre de la procédure de recours, n'ont, ainsi que rappelé plus haut, pas à être prises en considération par la Cour de céans; que dès lors, pour l'Autorité de céans, l'assurée n'a pas apporté jusqu'au temps où fut rendue la décision entreprise ici les éléments (médicaux) susceptibles de rendre plausible une péjoration notable, une modification essentielle de sa situation de santé par rapport à ce que pris en compte jusqu'au 29 avril 2010; qu'au vu de ce qui précède, c'est donc à raison que l'administration n'entra pas en matière sur la nouvelle demande de prestations, ne disposant, lorsqu'elle statua, d'aucun élément propre à rendre plausible une péjoration de l'état de fait – en particulier, une aggravation déterminante de l'état de santé – par rapport à celui sur lequel fut basée sa décision du 29 avril 2010; que le recours, non fondé, doit dès lors être rejeté, et la décision entreprise, confirmée; que la procédure de recours n'est pas gratuite (art. 69 al. 1bis LAI); les frais de justice de la procédure de recours, fixés à CHF 400.-, seront mis à la charge de la recourante, qui succombe; ils seront pris sur l'avance de frais d'un même montant versée;</w:t>
      </w:r>
    </w:p>
    <w:p>
      <w:r>
        <w:t>Tribunal cantonal TC Page 7 de 7 la Cour arrête: I. Le recours est rejeté. II. Les frais de procédure, par CHF 400.-, sont mis à la charge de la recourante. Ils seront prélevés sur l'avance d'un même montant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