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173 vom 30. Oktober 2017</w:t>
      </w:r>
    </w:p>
    <w:p>
      <w:r>
        <w:t>FR Kantonsgericht, 2017-10-30, FR</w:t>
      </w:r>
    </w:p>
    <w:p>
      <w:r>
        <w:rPr>
          <w:b/>
        </w:rPr>
        <w:t xml:space="preserve">Quelle: </w:t>
      </w:r>
      <w:r>
        <w:t>https://mcp.opencaselaw.ch/entscheid/fr_gerichte_608_2016_173</w:t>
      </w:r>
    </w:p>
    <w:p>
      <w:r>
        <w:t>FR: FR_GERICHTE 608 2016 173 du 30 octobre 2017</w:t>
      </w:r>
    </w:p>
    <w:p>
      <w:r>
        <w:t>IT: FR_GERICHTE 608 2016 173 del 30 ottobre 2017</w:t>
      </w:r>
    </w:p>
    <w:p>
      <w:pPr>
        <w:pStyle w:val="Heading2"/>
      </w:pPr>
      <w:r>
        <w:t>Regeste</w:t>
      </w:r>
    </w:p>
    <w:p>
      <w:r>
        <w:t>Arrêt de la IIe Cour des assurances sociales du Tribunal cantonal | Alters- und Hinterlassenenversicherung</w:t>
      </w:r>
    </w:p>
    <w:p>
      <w:pPr>
        <w:pStyle w:val="Heading2"/>
      </w:pPr>
      <w:r>
        <w:t>Erwägungen</w:t>
      </w:r>
    </w:p>
    <w:p>
      <w:r>
        <w:rPr>
          <w:b/>
        </w:rPr>
        <w:t>E. 2</w:t>
      </w:r>
    </w:p>
    <w:p>
      <w:r>
        <w:t>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w:t>
      </w:r>
    </w:p>
    <w:p>
      <w:r>
        <w:t>Tribunal cantonal TC Page 4 de 8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b)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arrêt TF H 126/04 du 8 septembre 2005) et que, dès lors, implicitement, le statut d'organe doit également être reconnu à l'homme de paille.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En règle générale, le moment déterminant à compter duquel le membre d'un conseil d'administration devient responsable du dommage envers la caisse est son entrée effective dans ledit conseil et non la date de l'inscription au registre du commerce (ATF 119 V 401; SVR 1998 AHV n° 10 p. 27). 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il peut y avoir, dans les deux cas, un lien de cause à effet entre l'inaction de l'organe et le non-paiement des cotisations dues pour la période d'activité du conseil d'administration et celles dues pour la période antérieure (cf. RCC 1992 p. 269). Toutefois, lorsque la société est déjà surendettée au moment où l'administrateur entre en fonction, celui-ci ne peut être tenu pour responsable, au plus, que du dommage résultant de l'augmentation de la dette de cotisations envers la caisse jusqu'au moment de la faillite, les tentatives de redressement financier de la société ayant échoué. Il n'y a</w:t>
      </w:r>
    </w:p>
    <w:p>
      <w:r>
        <w:t>Tribunal cantonal TC Page 5 de 8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ATF 119 V 401 consid. 4).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d) La doctrine et la jurisprudence constante (ATF 121 III 382 consid. 3) ont posé le principe qu'il y a dommage dès qu'un montant appartenant ou revenant à une caisse de compensation, en qualité d'organe de l'AVS, lui échappe, ceci notamment lorsque les cotisations dues ne peuvent</w:t>
      </w:r>
    </w:p>
    <w:p>
      <w:r>
        <w:t>Tribunal cantonal TC Page 6 de 8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w:t>
      </w:r>
    </w:p>
    <w:p>
      <w:r>
        <w:rPr>
          <w:b/>
        </w:rPr>
        <w:t>E. 3</w:t>
      </w:r>
    </w:p>
    <w:p>
      <w:r>
        <w:t>Est en l'espèce litigieuse la question de la responsabilité personnelle du recourant pour le dommage causé à la caisse de compensation intimée. Celui-ci est recherché pour un montant de CHF 48'031.80, correspondant à la somme des cotisations sociales impayées par la société B.________ Sàrl selon les factures (forfait et récapitulation) de janvier 2013 à octobre 2014. a) Selon l'art. 52 LAVS, c'est l'employeur qui est prioritairement tenu à réparation. Si l'employeur est une personne morale, la responsabilité peut toutefois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En l'espèce, la faillite de la société B.________ Sàrl a été prononcée le 23 février 2015 par le Président du Tribunal civil de l'arrondissement de la Sarine, charge étant donnée à l'Office des faillites de procéder à la liquidation des biens. La liquidation de la faillite a été suspendue le 22 juin 2015, faute d'actifs. La faillite a ensuite été clôturée et la société a été radiée du registre du commerce le 16 novembre 2015. Dès lors qu'il est manifeste que l'employeur n'est plus en mesure de satisfaire sa créance, la Caisse s'est à raison orientée vers les organes pour faire valoir le dommage ainsi subi. Il ressort du registre du commerce du canton de Fribourg que le recourant était l'associé gérant, avec droit de signature individuelle, de cette société du 22 juin 2012 au 2 décembre 2014. A ce titre, il avait indiscutablement qualité d'organe formel. En cette qualité, il lui incombait de veiller personnellement à ce que les cotisations paritaires afférentes aux salaires versés soient effectivement payées à la Caisse, conformément aux prescriptions légales. b) Le recourant invoque, comme motif disculpant, le fait que la gestion financière de la société était déléguée à une fiduciaire, à qui les deux associés gérants remettaient tous les documents. Cet argument n'est pas recevable. En effet, l'art. 810 al. 2 ch. 4 CO prévoit que les associés gérants d'une Sàrl ont notamment l'attribution intransmissible et inaliénable d'exercer la surveillance sur les personnes chargées de parties de la gestion pour s'assurer notamment qu'elles observent la loi, les statuts, les règlements et les instructions données. Ainsi, même s'ils</w:t>
      </w:r>
    </w:p>
    <w:p>
      <w:r>
        <w:t>Tribunal cantonal TC Page 7 de 8 avaient recours à une fiduciaire pour la gestion de leur société, le recourant et son frère avaient néanmoins l'obligation légale de contrôler le travail de cette dernière. En omettant de le faire, ils ont clairement commis une négligence grave. En outre, l'argument du recourant selon lequel "aucune situation pouvant mettre en doute la manière dont étaient gérés les comptes par la société [fiduciaire] n'est survenue" n'est pas fondé. En effet, tous les commandements de payer ont été notifiés directement à la société. Ces documents faisaient clairement état que les factures de la Caisse n'étaient pas payées et au moins deux d'entre eux (poursuites n° 1448324 et 1448326) ont été réceptionnés par le recourant lui-même en date du 27 juin 2014. Dans ces conditions, il ne peut en aucun cas prétendre qu'il n'était pas au courant du fait que les factures de la Caisse n'étaient pas payées et aurait donc dû réagir afin de rétablir une situation conforme au droit. Enfin, le fait que la procédure pénale ouverte à l'encontre du recourant pour violation de l'obligation de tenir une comptabilité ait été classée par ordonnance du 23 mars 2016, car la société fiduciaire a produit la comptabilité de la société pour les années 2013 et 2014, n'a aucune incidence sur la présente procédure. En effet, d'une part, dite procédure était limitée à la question de l'obligation légale de tenir une comptabilité et ne concernait donc pas du tout la question du paiement des cotisations sociales. D'autre part, il est de jurisprudence constante que le juge des assurances sociales n'est pas lié par les constatations et l'appréciation du juge pénal quant à l'évaluation de la faute commise mais, tout au plus, à certaines conditions, par ses constatations de fait (cf. ATF 111 V 172 consid. 5a et les références citées). A cet égard, on peut d'ailleurs relever que des nouvelles procédures pénales ont été ouvertes en date du 3 février 2017 à l'encontre du recourant et de son frère concernant notamment les déclarations de salaires de la société B.________ Sàrl pour l'année 2013 et que celles-ci ont été suspendues par décision du 18 août 2017 jusqu'à droit connu sur l'issue de la présente procédure et de la procédure parallèle ouverte à l'encontre du frère du recourant. Il ressort dès lors de ce qui précède que la Caisse était fondée à rechercher le recourant et à requérir de sa part le paiement de la créance litigieuse, dont le montant n'est, à juste titre, pas remis en cause et peut dès lors être avalisé.</w:t>
      </w:r>
    </w:p>
    <w:p>
      <w:r>
        <w:rPr>
          <w:b/>
        </w:rPr>
        <w:t>E. 4</w:t>
      </w:r>
    </w:p>
    <w:p>
      <w:r>
        <w:t>Au vu de l'ensemble des considérants qui précèdent, le recours doit être rejeté et la décision querellée confirmée. Il n'est pas perçu de frais de procédure, en application du principe de la gratuité valant en la matière. Enfin, il est renoncé à procéder à un appel en cause réciproque des deux associés gérants recherchés dès lors que les décisions attaquées sont confirmées et ce, d'autant plus, que les deux recours sont quasiment parfaitement identiques, ce qui laisse peu de doute sur le fait que chacun des frères a eu connaissance de la procédure ouverte à l'encontre de l'autre, voire même des arguments invoqués par l'autre.</w:t>
      </w:r>
    </w:p>
    <w:p>
      <w:r>
        <w:t>Tribunal cantonal TC Page 8 de 8 la Cour arrête: I. Le recours est rejeté. II. Il n'est pas perçu de frais de procédure.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