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171 vom 9. Juni 2017</w:t>
      </w:r>
    </w:p>
    <w:p>
      <w:r>
        <w:t>FR Kantonsgericht, 2017-06-09, FR</w:t>
      </w:r>
    </w:p>
    <w:p>
      <w:r>
        <w:rPr>
          <w:b/>
        </w:rPr>
        <w:t xml:space="preserve">Quelle: </w:t>
      </w:r>
      <w:r>
        <w:t>https://mcp.opencaselaw.ch/entscheid/fr_gerichte_608_2016_171</w:t>
      </w:r>
    </w:p>
    <w:p>
      <w:r>
        <w:t>FR: FR_GERICHTE 608 2016 171 du 9 juin 2017</w:t>
      </w:r>
    </w:p>
    <w:p>
      <w:r>
        <w:t>IT: FR_GERICHTE 608 2016 171 del 9 giugno 2017</w:t>
      </w:r>
    </w:p>
    <w:p>
      <w:pPr>
        <w:pStyle w:val="Heading2"/>
      </w:pPr>
      <w:r>
        <w:t>Regeste</w:t>
      </w:r>
    </w:p>
    <w:p>
      <w:r>
        <w:t>Arrêt de la IIe Cour des assurances sociales du Tribunal cantonal | Invalidenversicherung</w:t>
      </w:r>
    </w:p>
    <w:p>
      <w:pPr>
        <w:pStyle w:val="Heading2"/>
      </w:pPr>
      <w:r>
        <w:t>Erwägungen</w:t>
      </w:r>
    </w:p>
    <w:p>
      <w:r>
        <w:rPr>
          <w:b/>
        </w:rPr>
        <w:t>E. 30</w:t>
      </w:r>
    </w:p>
    <w:p>
      <w:r>
        <w:t>novembre 1996. Cette décision a été confirmée sur opposition le 17 juillet 1997. B. Entretemps, le 10 février 1997, l'assuré a déposé une demande de prestations auprès de l'Office de l'assurance-invalidité du canton de Fribourg (ci-après: OAI), alléguant que la symptomatologie ayant fait suite à l'accident du 7 février 1996 ne s'était pas améliorée. Dans le cadre de l'instruction du dossier, l'OAI a mandaté comme experts le Dr E.________, spécialiste FMH en psychiatrie et psychothérapie, et le Dr F.________, spécialiste FMH en médecine physique et réadaptation. Dans son rapport du 6 mai 1998, l'expert-psychiatre estimait que la capacité de travail était nulle en raison de la "symptomatologie douloureuse", celle-ci étant amplifiée par de "légers troubles psychologiques". Pour sa part, dans son rapport du 28 août 1998, l'expert-somaticien considérait que la capacité de travail était de 35% dans l'ancienne activité en raison d'un "syndrome douloureux chronique" et d'une "réaction dépressive prolongée". Par décision du 29 décembre 1998, l'OAI a octroyé une rente entière sur la base d'un degré d'invalidité de 100%, la révision du cas étant agendée au 1er juin 1999. La rente entière a été confirmée par communications des 14 février 2000, 15 septembre 2004 et 1er juillet 2008. C. Courant octobre 2011, l'OAI a commencé d'office une révision du cas. Sur suggestion de son Service médical régional (ci-après: SMR), il a mandaté la Dresse G.________, spécialiste FMH en rhumatologie et en médecine physique et réadaptation, pour expertise. Dans son rapport du 3 mai 2012, cette dernière a considéré que l'assuré avait une capacité de travail de 60% dans son ancienne activité et de 80% dans une activité adaptée à ses limitations. Par décision du 28 novembre 2014, l'OAI a supprimé la rente entière. L'assuré a contesté cette décision devant le Tribunal cantonal par le biais d'un recours le 15 janvier 2015, concluant à son annulation (cause 608 2015 11). Dans sa détermination du 12 mai 2015, l'autorité intimée a proposé de rayer le recours du rôle afin qu'elle puisse examiner l'opportunité de l'octroi de mesures de réadaptation, dans la mesure où l'assuré était au bénéfice d'une rente depuis plus de 15 ans au moment où elle a décidé de sa suppression. Par décision du 24 juin 2015, le recours a été rayé du rôle.</w:t>
      </w:r>
    </w:p>
    <w:p>
      <w:r>
        <w:t>Tribunal cantonal TC Page 3 de 10 D. Du 22 février 2015 au 22 mai 2015, un stage de préparation et d'orientation a été organisé auprès de H.________. Cette mesure sera interrompue sur demande de l'OAI. Par projet de décision du 30 mars 2016, l'OAI a supprimé la rente entière en raison d'une amélioration de l'état de santé, le degré d'invalidité étant fixé à 23%. Ce projet a été confirmé par décision du 20 juin 2016. L'effet suspensif à un éventuel recours a été retiré. E. Contre cette décision, l'assuré, représenté par Me Jean-Daniel Kramer, avocat, interjette recours devant le Tribunal cantonal le 22 août 2016 concluant, avec suite de frais et dépens, principalement, à la mise sur pied d'une expertise psychiatrique et, subsidiairement, au renvoi pour diligenter une telle expertise. A l'appui de son recours, il se plaint essentiellement du fait que l'OAI n'a procédé à aucune mesure d'instruction tendant à évaluer la présence d'une atteinte psychique et ses effets sur sa capacité de travail, alors même qu'il est évident qu'il est atteint dans sa santé mentale. A cet égard, s'appuyant sur la jurisprudence, il souligne que l'expertise de la Dresse G.________ ne suffit pas pour fonder l'absence d'atteinte à ce niveau dès lors que l'experte n'est pas psychiatre. En outre, il rappelle qu'entre 1997 et 2013, de nombreux médecins ont relevé l'existence d'une problématique psychique liée à son état de santé sans que l'experte-rhumatologue ne donne de motifs de s'en écarter. Quoi qu'il en soit, l'instruction devait porter sur cette question en application de la maxime d'office. Le 30 août 2016, l'assuré s'est acquitté d'une avance de frais de CHF 800.-. F. Dans ses observations du 4 novembre 2016, l'OAI propose le rejet du recours. Il souligne d'abord que l'octroi initial d'une rente entière au recourant apparaît incompréhensible au vu du contexte médical de l'époque. Il rappelle que les médecins traitants émettaient des avis optimistes et que les deux experts consultés à l'époque étaient manifestement contradictoires, le psychiatre fondant l'incapacité de travail sur les troubles d'ordre physique et le somaticien sur ceux d'ordre psychique. Il retient dès lors que les expertises n'auraient pas dû être suivies. Ensuite, il relève que le médecin traitant appelle à la révision du cas depuis 2005 – le recourant s'était blessé en jouant au football – ce qui a été fait par la mise sur pied d'une expertise rhumatologique. Il retient que les conclusions de cette dernière sont claires et l'ont motivé à mettre sur pied un coaching et des démarches professionnelles ainsi que, dans un second temps, un stage auprès de H.________, interrompu en raison du comportement démonstratif du bénéficiaire. G. Dans le cadre d'un second échange d'écritures, les parties campent sur leurs positions. Il sera fait état des arguments, développés par ces dernières à l'appui de leurs conclusions, dans les considérants de droit du présent arrêt, pour autant que cela soit utile à la solution du litige.</w:t>
      </w:r>
    </w:p>
    <w:p>
      <w:r>
        <w:t>Tribunal cantonal TC Page 4 de 10 en droit 1. Interjeté en temps utile et dans les formes légales auprès de l'autorité judiciaire compétente par un assuré dûment représenté et directement touché par la décision attaquée,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 f.). La reconnaissance de l'existence d'une atteinte à la santé psychique, de troubles somatoformes douloureux persistants ou de fibromyalgie, suppose également, sous la nouvelle jurisprudence, la présence d'un diagnostic émanant d'un expert (psychiatre) et s'appuyant lege artis sur les critères d'un système de classification reconnu (ATF 141 V 281 consid. 2.1 et 2.1.1; 130 V 396 consid. 5.3 et 6). En outre,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w:t>
      </w:r>
    </w:p>
    <w:p>
      <w:r>
        <w:t>Tribunal cantonal TC Page 5 de 10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112 V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d) Selon la let. a al. 1 des dispositions finales de la modification du 18 mars 2011 (6ème révision de l'AI, premier volet), les rentes octroyées en raison d'un syndrome sans pathogenèse ni étiologie claires et sans constat de déficit organique seront réexaminées dans un délai de trois ans à compter de l'entrée en vigueur de la présente modification. Si les conditions visées à l'art. 7 LPGA [incapacité de gain] ne sont pas remplies, la rente sera réduite ou supprimée, même si les conditions de l'art. 17 al. 1 LPGA ne sont pas remplies. L'al. 4 de la let. a précise que l'al. 1 ne s'applique pas aux personnes qui ont atteint 55 ans au moment de l'entrée en vigueur de la présente modification, ou qui touchent une rente de l'assurance-invalidité depuis plus de quinze ans au moment de l'ouverture de la procédure de réexamen. L'ATF 139 V 547 a précisé les conditions auxquelles un réexamen du droit de la rente sur la base de la let. a al. 1 des dispositions finales pouvait avoir lieu. Ainsi, il n'est pas nécessaire qu'une modification notable de l'état de santé au sens de l'art. 17 LPGA soit intervenue. En outre, la rente d'invalidité versée jusqu'ici doit avoir été accordée uniquement en raison d'un syndrome sans pathogenèse ni étiologie claires et sans constat de déficit organique, au nombre desquels on compte la fibromyalgie (ATF 132 V 65). Au moment de la révision, seul ce diagnostic doit subsister. Enfin, il convient également d'examiner si l'état de santé s'est dégradé depuis l'octroi de</w:t>
      </w:r>
    </w:p>
    <w:p>
      <w:r>
        <w:t>Tribunal cantonal TC Page 6 de 10 la rente et si, à côté de l'atteinte non objectivable, un diagnostic ne peut pas désormais clairement être posé sur la base d'examen clinique psychiatrique (ATF 139 V 547 consid. 10.1.2). Le Tribunal fédéral a par la suite encore précisé que lorsqu'une rente en cours a été allouée aussi bien en raison de plaintes peu claires que de plaintes explicables, rien ne s'oppose à ce que l'on applique la let. a al. 1 des dispositions finales de la 6ème révision de l'AI en ce qui concerne les plaintes peu claires (ATF 140 V 197). 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w:t>
      </w:r>
    </w:p>
    <w:p>
      <w:r>
        <w:t>Tribunal cantonal TC Page 7 de 10 personnel de l’assuré (RAMA 2001 no U 438 p. 345; arrêt TF U 233/02 du 14 juin 2004 consid. 3.1). c)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4. En l'espèce, pour admettre que l'état de santé du recourant s'était amélioré dans la décision ici litigieuse – laquelle reprend, en substance, les conclusions de sa précédente décision annulée du 28 novembre 2014 – l'autorité intimée s'est essentiellement fondée sur l'expertise rhumatologique de la Dresse G.________ du 3 mai 2012. Cela étant, il n'est pas sans intérêt d'examiner les motifs ayant conduit, dans un premier temps, à octroyer une rente entière par décision du 29 décembre 1998, cette décision n'ayant jamais été matériellement revue depuis lors. a) D'un point de vue rhumatologique, dans son rapport d'expertise du 28 août 1998, le Dr F.________ diagnostiquait un "trouble douloureux chronique […] sous la forme de lombo- sciatalgies", des "troubles statiques du rachis [sous] la forme d'une scoliose dorso-lombaire légère et compensée" ainsi qu'un "status post contusion de la région fessière et du flanc gauche". L'expert estimait que la capacité de travail du recourant dans le métier de maçon était de 35% mais ne se prononçait pas sur la capacité de travail dans une activité adaptée (dossier OAI, pièce 87). En outre, le Dr I.________, spécialiste FMH en chirurgie, médecin d'arrondissement, diagnostiquait un "syndrome vertébral lombaire". Il n'examinait par contre pas la question de la capacité de travail du recourant, faisant néanmoins état d'une "légère limitation fonctionnelle et discordance entre les plaintes et le status clinique et neurologique" (rapports des 7 février et 12 novembre 1996, dossier OAI, pièces 50 et 64). Pour leurs parts, les médecins de J.________ concluaient à la présence d'un "chronisches Lumbovertebral-Syndrom" et d'une "IGG-Syndrom links". Ils proposaient d'abord la reprise de l'ancienne activité de maçon, mais sans port de charges, à un taux de 33 1/3 %, précisant que "weitere stationäre Aufenthalte die Situation wohl kaum verbessern können und entsprechend auch momentan sicher nicht indiziert sind". Enfin, le Dr K.________, généraliste, médecin traitant, faisait état de la persistance d'un syndrome vertébral lombaire chronique, avec irradiation dans le membre inférieur gauche, lequel empêchait le recourant de reprendre son dernier emploi. Par contre, "l'absentéisme probable dû à l'état de santé serait faible" dans une activité adaptée, soit une activité permettant l'alternance des positions et évitant les ports de charges lourdes, l'exposition au froid et à l'humidité (rapport du 12 mai 1997, dossier OAI, pièce 71; cf. ég. pièces 100 et 118).</w:t>
      </w:r>
    </w:p>
    <w:p>
      <w:r>
        <w:t>Tribunal cantonal TC Page 8 de 10 Une capacité de travail de 33 1/3% ou de 35% dans l'activité de maçon, un faible absentéisme ou une "légère limitation fonctionnelle" ne sauraient manifestement justifier qu'on retienne un degré d'invalidité de 100% et, par conséquent, qu'on octroie une rente entière. Un tel degré d'invalidité ne peut dès lors être rattaché aux seuls troubles d'ordre somatique. Pour retenir un degré d'invalidité de 100%, l'autorité intimée a dès lors dû prendre en compte la présence de troubles psychiques. b) On peut, sur ce plan, se référer au Dr E.________, lequel estimait que la "symptomatologie douloureuse" pouvait être amplifiée par de "légers troubles psychologiques", la capacité de travail étant nulle (expertise du 6 mai 1998, dossier OAI, pièce 79). Le Dr F.________ tenait un discours semblable. Il diagnostiquait un "état dépressif chronique" et considérait expressément que le recourant présentait "un syndrome douloureux chronique et une réaction dépressive prolongée expliquant dans sa majorité une incapacité de reprendre le travail". Pour ces motifs, il suggérait la mise sur pied d'une prise en charge psychiatrique (dossier OAI, pièce 87). Par ailleurs, le Dr L.________, spécialiste FMH en médecine interne générale et en rhumatologie, diagnostiquait un "syndrome dysfonctionnel mineur de l'articulation sacro-iliaque gauche" et une "periarthropathie de la hanche gauche". Selon le médecin, qui n'examinait par la question de la capacité de travail, il existait un "état anxio-dépressif" associé. Il conseillait dès lors la prise d'un anti-dépresseur (rapports des 4 juin et 30 septembre 1996, dossier OAI, pièces 47 et 60). Enfin, les médecins de J.________ affirmaient que si une reprise du travail devait échouer, il fallait approfondir l'aspect psychique ("Sollte ein Arbeitsversuch fehlschlagen und sich der Verdach auf eine psychische Ueberlagerung erhärten, wäre allenfalls eine weitere Abklärung in dieser Richtung zu diskutieren"; dossier OAI, pièce 245). c) Indépendamment de la valeur probante de ces rapports et expertises, il appert que l'octroi initial d'une rente a été dicté pour des motifs ayant trait tant à l'état de santé sur le plan somatique que sur le plan psychiatrique. En d'autres mots, pour se référer aux diagnostics figurant dans l'expertise du Dr F.________, la rente avait initialement été octroyée tant en raison du "trouble douloureux chronique" et des "troubles statiques du rachis [sous] la forme d'une scoliose dorso-lombaire légère et compensée", qu'au motif d'un "état dépressif chronique". Dans ces circonstances, la Cour peine à voir pour quels motifs l’autorité intimée, indirectement du moins, soutient que la décision initiale serait manifestement erronée. 5. Dans le cadre d'une amélioration de l'état de santé, il convient de comparer la situation médicale au moment de l'octroi initial de la rente, par décision du 29 décembre 1998, et celle prévalant au moment de la décision litigieuse du 20 juin 2016. En l'occurrence, cela implique notamment d'examiner si l'état de santé s'est amélioré, tant sur le plan somatique que psychique, de telle sorte que le degré d'invalidité a diminué au point d'être inférieur à 40%, seuil donnant droit à un quart de rente. a) Toutefois, dans la décision ici litigieuse du 20 juin 2016, pour exclure le volet psychiatrique, l'autorité intimée n'a procédé à aucune mesure d'instruction particulière depuis 1998.</w:t>
      </w:r>
    </w:p>
    <w:p>
      <w:r>
        <w:t>Tribunal cantonal TC Page 9 de 10 Elle s'est uniquement fondée sur l'expertise de la Dresse G.________, spécialiste FMH en rhumatologie et en médecine physique et réadaptation, du 3 mai 2012. Cela ne saurait suffire. Selon la jurisprudence, la reconnaissance de l'existence d'une atteinte à la santé psychique suppose la présence d'un diagnostic émanant d'un expert-psychiatre, ce que la rhumatologue n'est pas. En outre, il apparaît que l'examen de la rhumatologue est très – trop – sommaire sur ce plan. Elle s'est contentée de demander au recourant s'il s'estimait atteint sur le plan psychiatrique et, vu la réponse négative donnée à cette question, elle n'a pas approfondi cette problématique (dossier OAI, pièce 245). b) Par ailleurs, dans un rapport du 27 novembre 2013, le Dr K.________, a notamment indiqué ce qui suit: "je me suis posé la question de l'indication et de l'utilité d'une éventuelle expertise psychiatrique, au vu de cet état d'anxiété chronique. Je pense qu'on se trouve face à un état anxio-dépressif chez une personnalité fragile et chez qui l'évocation même d'une possibilité de réinsertion entraine une réactivation d'un important état d'angoisses […]. L'aspect psychiatrique concernant cet état anxio-dépressif mériterait d'être approfondi, par exemple par une évaluation ou une expertise psychiatrique" (dossier OAI, pièce 297). A la lecture de ce rapport, on ne peut pas totalement exclure que le recourant soit – comme lors de l'octroi initial d'une rente – atteint sur le plan psychique et que ces troubles aient une influence sur sa capacité de travail. A tout le moins, ce rapport médical aurait dû conduire l'autorité intimée à diligenter des mesures d'instruction sur le plan psychique, des troubles sur ce plan pouvant entrer en ligne de compte. Cela est d'autant plus le cas au vu des motifs initiaux d'octroi de la rente, lesquels comprenaient des troubles d'ordre psychique. c) Partant, en l'état, le dossier de la cause ne permet pas à la Cour de trancher la question ici litigieuse de l'évolution de la capacité de travail, en particulier sur le plan psychique. Dans la mesure où il n'appartient pas à la Cour de céans de combler de telles lacunes d'instruction, la cause doit être renvoyée à l'autorité intimée. Il lui appartiendra de mettre en œuvre les mesures d'instruction nécessaires avant de rendre une nouvelle décision. Cela étant, l'autorité intimée est rendue attentive au fait que l'échec des mesures d'ordre professionnel peut être lié à d'autres motifs que l'absence de collaboration de l'assuré, quand bien même l'opinion de M.________ – selon lequel si l'assuré "est placé en stage d'évaluation, il se mobilisera pour démontrer qu'il ne peut rien faire" (dossier OAI, pièce 302) – lequel était chargé de suivre et conseiller le recourant, (cf. dossier OAI, pièce 294) ,plaide dans ce sens. Il est en effet possible que l'échec soit lié au déconditionnement – l'assuré étant rentier depuis près de vingt ans – ou à l'absence de soutien sur le plan psychiatrique. Il appartiendra à l'expert-psychiatre de se prononcer à ce sujet et, cas échéant, proposer le suivi d'éventuelles autres mesures pour une bonne réadaptation. 6. a) Au vu de l'ensemble des considérants qui précèdent, le recours, bien fondé, doit être admis. Partant, la décision attaquée est annulée et le dossier renvoyé à l'autorité intimée pour instruction complémentaire et nouvelle décision dans le sens des considérants.</w:t>
      </w:r>
    </w:p>
    <w:p>
      <w:r>
        <w:t>Tribunal cantonal TC Page 10 de 10 b) Les frais de procédure, par CHF 800.-, sont mis à la charge de l'autorité intimée. L'avance de frais du même montant versée par le recourant lui est restituée c) Ayant obtenu gain de cause, le recourant a droit à une indemnité de partie. Selon la liste de dépens produite par son mandataire le 28 avril 2017, les honoraires et débours se montent à CHF 2'203.20, soit CHF 1'840.- au titre des honoraires, CHF 200.- au titre de débours et CHF 163.20 au titre de la TVA. Cette indemnité est intégralement mise à la charge de l'autorité intimée et sera directement versée à la mandataire du recourant. la Cour arrête: I. Le recours est admis. Partant, la décision du 20 juin 2016 est annulée et le dossier renvoyé à l'autorité intimée pour instruction complémentaire et nouvelle décision dans le sens des considérants. II. Les frais de procédure, par CHF 800.-, sont mis à la charge de l'autorité intimée; l'avance de frais de CHF 800.- versée par le recourant lui est restituée. III. L'indemnité de partie est fixée à CHF 2'203.20, dont CHF 163.20 au titre de la TVA; ce montant est mis intégralement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juin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