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150 vom 4. September 2014</w:t>
      </w:r>
    </w:p>
    <w:p>
      <w:r>
        <w:t>FR Kantonsgericht, 2014-09-04, FR</w:t>
      </w:r>
    </w:p>
    <w:p>
      <w:r>
        <w:rPr>
          <w:b/>
        </w:rPr>
        <w:t xml:space="preserve">Quelle: </w:t>
      </w:r>
      <w:r>
        <w:t>https://mcp.opencaselaw.ch/entscheid/fr_gerichte_608_2016_150</w:t>
      </w:r>
    </w:p>
    <w:p>
      <w:r>
        <w:t>FR: FR_GERICHTE 608 2016 150 du 4 septembre 2014</w:t>
      </w:r>
    </w:p>
    <w:p>
      <w:r>
        <w:t>IT: FR_GERICHTE 608 2016 150 del 4 settembre 2014</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4 de 14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w:t>
      </w:r>
    </w:p>
    <w:p>
      <w:r>
        <w:t>Tribunal cantonal TC Page 5 de 14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Toutefois,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w:t>
      </w:r>
    </w:p>
    <w:p>
      <w:r>
        <w:t>Tribunal cantonal TC Page 6 de 14</w:t>
      </w:r>
    </w:p>
    <w:p>
      <w:r>
        <w:rPr>
          <w:b/>
        </w:rPr>
        <w:t>E. 3</w:t>
      </w:r>
    </w:p>
    <w:p>
      <w:r>
        <w:t>a)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du 17 janvier 1961 sur l'assurance-invalidité; RAI; RS 831.201; ATF 130 V 349 ss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b)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w:t>
      </w:r>
    </w:p>
    <w:p>
      <w:r>
        <w:rPr>
          <w:b/>
        </w:rPr>
        <w:t>E. 4</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w:t>
      </w:r>
    </w:p>
    <w:p>
      <w:r>
        <w:t>Tribunal cantonal TC Page 7 de 14</w:t>
      </w:r>
    </w:p>
    <w:p>
      <w:r>
        <w:rPr>
          <w:b/>
        </w:rPr>
        <w:t>E. 9</w:t>
      </w:r>
    </w:p>
    <w:p>
      <w:r>
        <w:t>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w:t>
      </w:r>
    </w:p>
    <w:p>
      <w:r>
        <w:t>Tribunal cantonal TC Page 8 de 14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I 685/02 du 28 février 2003 consid. 3.2).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TF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5. Le litige porte sur l’évolution du taux d'invalidité de l'assurée, particulièrement sur l’évolution de sa capacité de travail résiduelle. En d'autres termes, il sied de vérifier si l'état de santé de la recourante s'est ou non modifié au point de devoir entraîner une diminution de sa perte de gain. a) La décision du 19 août 2003, octroyant une rente entière en raison d'un degré d'invalidité de 85%, constitue le point de départ temporel. Il s'agit en effet de la seule décision entrée en force qui repose sur un examen matériel du droit à la rente. Pour leurs parts, les communications ultérieures se fondent uniquement sur un questionnaire pour la révision de la rente – rempli par l'assurée – et un rapport médical du</w:t>
      </w:r>
    </w:p>
    <w:p>
      <w:r>
        <w:t>Tribunal cantonal TC Page 9 de 14 médecin traitant. A ce titre, ces communications ne se basent pas sur une constatation suffisante des faits pertinents, étant souligné qu'aucune nouvelle appréciation des preuves et comparaison des revenus conformes au droit n'a apparemment été réalisée. On peut rappeler que l'autorité intimée avait initialement retenu l'existence d'un degré d'invalidité de 85%, prenant en compte une incapacité totale d'exercer une activité lucrative (80%) et d'un empêchement de 25% dans la tenue du ménage (20%). b) S'agissant de l'activité lucrative (80%) en particulier, l'OAI avait mandaté les médecins de H.________ pour expertise bidisciplinaire (rhumatologie et psychiatrie). Le Dr C.________, spécialiste FMH en rhumatologie, retenait les diagnostics de "probable syndrome de fatigue chronique" et de "probable impingement syndrome de l'épaule droite". Il soutenait que, d'un point de vue strictement rhumatologique, la capacité de travail était d'au moins 50%. Toutefois, l'état de santé était alors grandement influencé par la grossesse en cours de l'assurée, empêchant de nombreux moyens d'investigation ainsi que tout traitement intensif. C'est pourquoi il considérait qu'une évaluation plus précise de l'état de santé et de la capacité de travail devait être faite après l'accouchement et le post partum (dossier OAI, p. 402). Pour sa part, Dr D.________, spécialiste FMH en psychiatrie et psychothérapie, évoquait les diagnostics de "trouble panique" (F41.0) et de "trouble dépressif récurrent, épisode actuel moyen" (F33.10). Le psychiatre estimait que la capacité de travail était alors nulle, les troubles entrainant, un épuisement affectif, une baisse de l'autonomie personnelle et une augmentation de la vulnérabilité psychosomatique. Il était cependant d'avis qu'un traitement psychothérapeutique et antidépresseur pouvait permettre à l'assurée de recouvrer une certaine capacité de travail. De même, il suggérait qu'à l'issue de sa grossesse, la recourante pourrait éventuellement retrouver une capacité de travail (dossier OAI, p. 416). Lors du concilium du 24 juin 2003, les deux experts proposaient une réévaluation de la situation dans un délai d'environ une année. c) S'agissant ensuite de la capacité à tenir le ménage (20%), l'OAI se référait à ses "observations", lesquelles faisaient état d'une limitation de 25%. Toutefois, l'OAI n'avait alors procédé à aucune investigation particulière et, en particulier, diligenté d'enquête domiciliaire. Le Dr D.________ évoquait l'existence de limitations dans la tenue du ménage, celui-ci indiquant que la recourante "parv[enait] difficilement à accomplir son ménage et délégu[ait] la plupart des activités impliquant un effort physique à ses proches" (dossier OAI, p. 416). La Dresse I.________, spécialiste FMH en médecine interne générale, médecin traitant, soutenait une thèse semblable (dossier OAI, p. 525). S'accordant sur la présence de limitations, aucun médecin ne quantifiait pourtant dans quelle mesure la recourante n'était plus apte à s'occuper de son ménage. Il apparaît ainsi que la capacité d'accomplir les travaux ménagers de 25% retenue n'était pas confirmée par les pièces au dossier, celle-ci n'ayant jamais été quantifiée. Cela étant, il n'apparait pas nécessaire de revenir sur cette décision entrée en force. Le Tribunal s’étonne cependant non seulement de cette appréciation, mais également du fait que, malgré le consensus des expert sur la nécessité de réévaluer la situation dans le délai d’une année, l’autorité n’a pas procédé dans ce délai à une révision comprenant un examen approfondi.</w:t>
      </w:r>
    </w:p>
    <w:p>
      <w:r>
        <w:t>Tribunal cantonal TC Page 10 de 14 6. Pour supprimer la rente, l'OAI se fonde désormais sur l'avis du Dr E.________, spécialiste FMH en psychiatrie et psychothérapie, et de la Dresse F.________, spécialiste FMH en rhumatologie. Il a également procédé à une visite domiciliaire le 7 mai 2013. a) A ce stade, on peut rappeler que l'autorité intimée a séparé l'évaluation de la capacité de travail en deux phases, la première, avant la séparation de la recourante de son mari, selon la méthode mixte (50% part lucrative, 50% part ménagère) et la seconde, après la séparation, selon la méthode ordinaire de comparaison des revenus. Cette manière de faire et la répartition choisie ne sont pas contestées. Cependant, la rente a été supprimée dès le 30 juin 2016, soit bien après le jugement relatif aux mesures de protection de l'union conjugale rendu le 16 juillet 2014. Il s'agit d'une période durant laquelle il doit être retenu que la recourante travaillerait à plein temps. C'est donc uniquement en application de la méthode ordinaire de comparaison des revenus que doit être ici traitée la question litigieuse de la suppression du droit à la rente. b) Sur le plan psychique, dans son rapport du 5 décembre 2013, le Dr E.________ diagnostique un "syndrome somatoforme persistant" (F45.4), sans comorbidité psychiatrique, lequel n'influence pas la capacité de travail de la recourante (dossier OAI, p. 166). Faisant application des nouveaux critères applicables aux troubles somatoformes (cf. consid. 2b ci-avant) dans le cadre d'un rapport complémentaire du 13 mai 2016, le psychiatre maintient ses conclusions et, en particulier, la présence d'une capacité de travail entière sur le plan psychiatrique (dossier OAI, p. 69). aa) Les conclusions de l'expert psychiatre sont fondées sur l'examen du dossier assécurologique, par le biais duquel il a pu avoir une pleine connaissance de l'anamnèse et de la situation médicale, ainsi que deux entretiens du 13 novembre 2013 et du 25 avril 2016. Lors de ces entretiens, la recourante a été en mesure d'informer l'expert de ses difficultés, notamment sa fatigue constante et les douleurs au niveau des mains, du dos et des épaules. Pour sa part, l'expert a pu procéder à un examen complet comprenant, en particulier, un dosage plasmatique attestant d'une mauvaise compliance dans la prise des antidouleurs – chez une assurée dont les plaintes essentielles ont justement trait aux douleurs – et des antidépresseurs. Par l'indication de divers points de réflexion, l'expert procède à un diagnostic différentiel, sélectionnant le diagnostic le plus vraisemblable et le différenciant d'autres maladies qui pourraient avoir les mêmes symptômes ou des symptômes proches. On peut notamment relever que l'expert exclut que l'explorée soit atteinte d'un syndrome anxio-dépressif en reprenant les critères diagnostics de l'ICD-10 tels que l'absence d'humeur dépressive, de ralentissement psychomoteur ou de sentiment d'inutilité. De même, se référant à nouveau aux critères de l'ICD-10, il conclut à l'existence d'un trouble somatoforme, relevant que le trouble physique reconnu ne permet pas de rendre compte de la nature et de la gravité des symptômes, voire de la détresse et des préoccupations de la recourante. Enfin, la problématique de la capacité de travail a été examinée tant en application des critères dits de MEYER-BLASER, anciennement utilisés, que ceux, désormais applicables, mentionnés dans l'ATF 141 V 281 (cf. consid. 2b ci-avant). S'agissant des indicateurs à examiner, le psychiatre relève par exemple que la recourante n'a pas été très régulière en ce qui concerne la prise en charge psychiatrique. Il met aussi en évidence l'absence de comorbidités. Il souligne encore le fait que la recourante présente des ressources, étant en mesure de s'occuper seule de ses enfants, de s'investir dans leur éducation et de les</w:t>
      </w:r>
    </w:p>
    <w:p>
      <w:r>
        <w:t>Tribunal cantonal TC Page 11 de 14 soutenir sur le plan scolaire. Elle bénéficie en outre du soutien de sa famille proche, laquelle l'aide financièrement et matériellement. Par contre, l'expert précise qu'une réinsertion semble problématique en raison du trouble somatoforme et du fait que la recourante est convaincue que ses douleurs l'empêchent d'exercer une activité professionnelle, faisant état d'un potentiel de réinsertion intact. Ainsi, les points litigieux importants ont fait l'objet d'une étude fouillée. L'appréciation médicale est claire et les conclusions de l'expert dûment motivées. Dès lors que le rapport d'expertise est en tous points conformes aux réquisits jurisprudentiels, il a en soi pleine valeur probante. L'autorité intimée était en droit de se baser sur cette analyse. bb) Les conclusions de l'expert-psychiatre ne sont, au demeurant, pas contredites par les pièces du dossier. On peut d'abord relever que, dans son rapport du 23 novembre 2016, le Dr J.________, spécialiste FMH en médecine interne générale, du SMR, confirme la valeur probante de l'expertise du Dr E.________ (cf. annexe aux contre-observations du 5 décembre 2016). Toutefois, si cette opinion va dans le sens de l'expert-psychiatre, il convient de tenir compte du fait que le médecin SMR est généraliste. Pour ce motif, s'agissant d'une problématique psychiatrique, son avis médical doit être appréhendé avec une certaine prudence. Cela étant, dans le cadre de l'expertise bidisciplinaire du 1er juillet 2003, les Drs C.________ et D.________ affirmaient que la situation pouvait évoluer favorablement, proposant la réévaluation du cas, avec de nouvelles investigations médicales, dans le délai d'une année. Les experts faisaient alors état de l'influence non négligeable de la grossesse alors en cours de l'assurée sur son état de santé, notamment psychique (cf. dossier OAI, p. 402 et 416). Les constats du Dr E.________ en 2013 et en 2016 vont dans le sens de l'évolution de l'état de santé possible prédite en 2003. Notamment s'agissant de la "thymie dépressive", les attaques de panique ou les ruminations, la comparaison des expertises permet de constater une amélioration des symptômes. Il ne s'agit dès lors pas d'une appréciation différente d'une situation médicale inchangée. En outre, le Dr D.________ proposait le suivi d'un traitement psychothérapeutique et antidépresseur (cf. dossier OAI, p. 416). Or, dans les différents questionnaires qui lui ont été adressés, la recourante n'indique pas être suivie par un psychiatre de manière régulière (dossier OAI, p. 174, 242, 252, 300, 315 et 325). Elle admet par ailleurs ne prendre les antidépresseurs (Tranxilium®, Cymbalta®) conseillés par sa généraliste que de manière très irrégulière (dossier OAI, p. 233), ce que confirment les dosages plasmatiques. L'absence de suivi spécialisé et de traitement médicamenteux ne plaide pas en faveur de la présence d'une atteinte invalidante durant cette période. Certes, sur le plan psychique, la Dresse I.________ a une opinion différente. Depuis 2000, elle diagnostique un "état anxio-dépressif réactionnel" et une "fibromyalgie" (cf. dossier OAI, p. 455, 458, 460 et 522) qui n'évoluent pas jusqu'en 2006 (dossier OAI, p. 324). Depuis lors, elle estime que les symptômes s'aggravent progressivement – la recourante souffrant progressivement d'un grand nombre d'atteintes associées à la fibromyalgie – ce qui a une influence sur la capacité de travail, laquelle demeure nulle (dossier OAI, p. 152, 169, 244, 287, 309; cf. ég. rapports annexés aux contre-observations). Cependant, il ne faut pas perdre de vue le fait, relevant de l'expérience, que, de par sa position de confident privilégié que lui confère son mandat, le médecin traitant tranchera dans le doute en faveur de son patient (cf. ATF 125 V 352 consid. 3 b/cc et les</w:t>
      </w:r>
    </w:p>
    <w:p>
      <w:r>
        <w:t>Tribunal cantonal TC Page 12 de 14 références), étant surtout relevé que la Dresse I.________ est une médecin-généraliste et non spécialiste en psychiatrie (cf. ATF 141 V 281 consid. 2.1 et 2.1.1; 130 V 396 consid. 5.3 et 6). Par conséquent, cet avis ne permet pas de mettre en doute l'expertise détaillée d'un spécialiste en psychiatrie. Pour sa part, le certificat médical du 29 août 2016 de la Dresse K.________, spécialiste FMH en psychiatrie et psychothérapie, est postérieur à la décision litigieuse du 27 mai 2016. Pour ce motif, il n'a pas à être pris en compte dans l'évaluation de la capacité de travail de l'assurée. Au demeurant, il apparaît être que très sommairement motivé, l'incapacité de travail attestée n'étant notamment appuyée par aucun diagnostic au sens de l'ICD-10 ou du DSM. cc) Au vu de l'ensemble qui précède, la Cour de céans retient que les troubles psychiques dont souffre la recourante n'influencent plus sa capacité de travail, celle-ci étant entière dans toute activité. c) Sur le plan somatique, dans son rapport du 5 avril 2016, la Dresse F.________ diagnostique des "cervico-dorsolombalgies sur troubles statiques et dégénératifs", lesquels influencent la capacité de travail, ainsi qu'un "syndrome douloureux musculosquelettique", sans influence sur la capacité de travail. D'avis d'experte, la recourante n'est pas en mesure de réaliser son ancienne activité d'esthéticienne, mais demeure apte à exercer une activité sédentaire, sans stations debout prolongées et mouvements itératifs contraignants pour le rachis dorso-lombaire, à plein temps et sans perte de rendement (dossier OAI, p. 52). aa) La rhumatologue a basé ses conclusions sur le dossier assécurologique mis à sa disposition – lequel comprenait en outre les résultats des différents examens de l'assurée – et sur les constats tirés de son entretien avec la recourante du 17 mars 2016. Par ces différents biais, l'experte a ainsi pu procéder à des examens et a eu une connaissance exhaustive du dossier médical – y compris s'agissant des diagnostics plus récents de spondylarthropathie. Lors de l'entretien, la recourante a pu s'exprimer sur ses troubles et ses douleurs, en précisant notamment l'évolution (soit l'aggravation progressive) et la localisation (presque partout) de ces derniers. L'expertise se fonde dès lors sur des examens complets, en pleine connaissance de l'anamnèse et du contexte médical. L'experte prend en considération les plaintes de l'assurée dans son évaluation de l'état de santé. Les conclusions de l'experte sont basées par la confrontation entre les diagnostics retenus par ses confrères – notamment par la Dresse L.________, spécialiste FMH en médecin interne générale et en rhumatologie. L'experte soutient que si une spondylarthropathie peut bien être présente, celle-ci doit être minime en l'absence de stigmate radiologique et de prise régulière d'anti-inflammatoire par l'assurée, ceux-ci étant souvent oubliés. Elle exclut également le diagnostic de fibromyalgie dès lors que seulement 6 points topiques sur 18 sont remplis (minimum de 11). Par contre, elle confirme l'existence de troubles dégénératifs au niveau des cervicales et des lombaires ainsi qu'un syndrome douloureux. Ainsi, les points litigieux importants ont fait l'objet d'une étude fouillée. L'appréciation médicale est claire et les conclusions de l'expert dûment motivées. C'est à juste titre que l'autorité intimée s'est fondée sur ce document. bb) Reste à examiner les autres pièces présentes au dossier. On peut de nouveau rappeler que dans le cadre de l'expertise bidisciplinaire du 1er juillet 2003, les Drs C.________ et D.________ évoquaient la possibilité d'une évolution favorable de la situation,</w:t>
      </w:r>
    </w:p>
    <w:p>
      <w:r>
        <w:t>Tribunal cantonal TC Page 13 de 14 suggérant que de nouvelles investigations médicales soient réalisées dans le délai d'une année. En particulier, l'expert-rhumatologue relevait expressément qu'il fallait "maintenir une certaine réserve puisque, du fait de la grossesse, [il s'était] abstenu de faire d'autres investigations récentes et en particulier des examens radiologiques". Il précisait également qu'étant "donné la grossesse en cours, la mise en route de mesures thérapeutiques sembl[aient] difficiles" et refusait de se "prononcer sur l'impact que la nouvelle maternité [aurait] dans l'état de santé de [la recourante]" (cf. dossier OAI, p. 402 et 416). Ces réserves expliquent l'adoption de l'adjectif "probable" retenu par l'expert à l'époque, réserves qui n'ont plus lieu d'être aujourd'hui. On doit également relever que, dans son rapport du 23 novembre 2016, le Dr J.________, admet que l'expertise de la Dresse F.________ met en évidence une évolution défavorable au cours du temps. Toutefois, cette évolution n'a pas d'influence sur la capacité de travail, laquelle demeure entière dans une activité adaptée (cf. annexe aux contre-observations du 5 décembre 2016). Le médecin SMR confirme dès lors les conclusions de l'expert-rhumatologue. Cela étant, sur le plan diagnostic, la Dresse I.________ faisait, en 2002 déjà, l'indication que "6 points de fibromyalgie" étaient positifs, mais retenait le diagnostic compte tenu de "l'ensemble du tableau et sa durée" (dossier OAI, p. 525). Elle s'écartait alors des critères en vigueurs, lesquels imposait la présence d'une douleur diffuse depuis au moins trois mois ainsi qu'au moins 11 de 18 points douloureux sous une pression digitale. Quand bien même ce diagnostic ne répondait pas aux règles de l'art alors en vigueur – l'expert-rhumatologue n'ayant au demeurant pas retenu ce diagnostic à l'époque –, la généraliste persiste jusqu'à ce jour à affirmer que sa patiente souffre d'un tel trouble. Compte tenu de ces éléments ainsi de ce qui a été relevé ci-avant (cf. consid. 6b/bb), l'avis du médecin traitant n'apparaît pas probant. Pour sa part, dans ses rapports adressés à l'OAI, la Dresse L.________ diagnostique un probable "rhumatisme inflammatoire de type spondylarthropathie indifférenciée" lequel, associé à l'état dépressif, rend sa patiente totalement inapte au travail (dossier OAI, p. 92 et 178; cf. ég. rapports annexés aux contre-observations). Cependant, outre le fait qu'il y a lieu d’attacher plus de poids à l’opinion motivée d’un expert qu’à l’appréciation de l’incapacité de travail par le médecin traitant, il appert que les conclusions de la rhumatologue sont influencées par des facteurs psycho-sociaux qui ne sont pas du ressort de l'assureur-invalidité. On peut par exemple citer le "contexte d'une lourde problématique familiale" ainsi qu'un "conflit familial suite auquel elle se retrouve seule avec ses enfants son mari l'ayant quittée". On ne saurait la suivre. Ainsi, l'avis de l'expert-rhumatologue n'est pas remis en cause par les autres pièces du dossier. cc) Sur le plan somatique, la Cour de céans retient que la capacité de travail de la recourante est entière, sans perte de rendement, dans une activité sédentaire, sans stations debout prolongées et mouvements itératifs contraignants pour le rachis dorso-lombaire. d) Compte tenu de l'ensemble qui précède, c'est à juste titre que l'autorité a considéré que l'état de santé de la recourante s'était amélioré – faisant application des dispositions relatives à la révision (art. 17 LPGA) – et qu'elle possédait désormais une capacité de travail entière dans une activité adaptée. Dans la décision du 27 mai 2016, l'OAI a retenu un revenu de valide de CHF 57'662.40 et un revenu d'invalide de CHF 54'008.15. Ces montants ne sont pas contestés. Ils n'apparaissent au demeurant pas devoir faire l'objet de critiques, de sorte qu'ils peuvent être suivis.</w:t>
      </w:r>
    </w:p>
    <w:p>
      <w:r>
        <w:t>Tribunal cantonal TC Page 14 de 14 De la comparaison des revenus, il découle un degré d'invalidité de 6%, lequel n'est manifestement plus suffisant pour justifier l'octroi d'une rente. C'est dès lors à juste titre que la rente entière octroyée jusqu'alors a été supprimée. Pour ces motifs, le recours contre la décision du 27 mai 2016 doit être rejeté et la suppression de la rente entière au 30 juin 2016 confirmée. La procédure n'étant pas gratuite, les frais de justice, fixés à CHF 800.-, sont mis à la charge de la recourante. Il n'est pas octroyé de dépens. la Cour arrête: I. Le recours est rejeté. II. Les frais de justice, fixés à CHF 800.-, sont mis à la charge de la recourante;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2014/pte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