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86 vom 19. Mai 2016</w:t>
      </w:r>
    </w:p>
    <w:p>
      <w:r>
        <w:t>FR Kantonsgericht, 2016-05-19, FR</w:t>
      </w:r>
    </w:p>
    <w:p>
      <w:r>
        <w:rPr>
          <w:b/>
        </w:rPr>
        <w:t xml:space="preserve">Quelle: </w:t>
      </w:r>
      <w:r>
        <w:t>https://mcp.opencaselaw.ch/entscheid/fr_gerichte_608_2015_86</w:t>
      </w:r>
    </w:p>
    <w:p>
      <w:r>
        <w:t>FR: FR_GERICHTE 608 2015 86 du 19 mai 2016</w:t>
      </w:r>
    </w:p>
    <w:p>
      <w:r>
        <w:t>IT: FR_GERICHTE 608 2015 86 del 19 maggio 2016</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t>Tribunal cantonal TC Page 3 de 5</w:t>
      </w:r>
    </w:p>
    <w:p>
      <w:r>
        <w:rPr>
          <w:b/>
        </w:rPr>
        <w:t>E. 2</w:t>
      </w:r>
    </w:p>
    <w:p>
      <w:r>
        <w:t>a)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b) Selon l'art. 10 al. 1 de la loi d'application cantonale du 24 novembre 1995 de la loi fédérale sur l'assurance-maladie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Selon l'art. 3 al. 1 et 2 de l'ordonnance cantonale du 8 novembre 2011 concernant la réduction des primes d'assurance-maladie (ci-après: ORP; RSF 842.1.13; dans sa teneur en vigueur dès le 1er janvier 2015, applicable ici), ont droit à la réduction des primes les assuré-e-s ou les familles qui ont un revenu déterminant inférieur à CHF 36'000.- pour les personnes seules sans enfant, à CHF 45'900.- pour les personnes seules avec un ou plusieurs enfants à charge, et à CHF 53'900.- pour les couples mariés et les partenaires enregistrés. A ces montants s’ajoutent CHF 11'500.- par enfant à charge; L'art. 19 LALAMal prévoit que le droit à la réduction est réexaminé lors de chaque période fiscale. L'art. 14 al. 1 LALAMal prescrit que les calculs du revenu déterminant, du revenu brut et des actifs bruts sont effectués sur la base des critères ressortant de la taxation de la dernière période fiscale ou du revenu soumis à l'impôt à la source.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divers montants; sont réservées les dispositions prévues à l'art. 5 al. 3 à 7 ORP. A cet égard, l'al. 4 prescrit que le changement du nombre d’enfants à charge est pris en considération à partir du premier jour du mois au cours duquel il survient, mais au plus tôt dès le 1er janvier de</w:t>
      </w:r>
    </w:p>
    <w:p>
      <w:r>
        <w:t>Tribunal cantonal TC Page 4 de 5 l’année au cours de laquelle il est annoncé à la Caisse AVS. En outre, à teneur de l'al. 7,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1. La légalité de cet article a été confirmée par la Cour de céans dans l'arrêt qu'elle a rendu le 22 septembre 2014 (608 2013 5). Enfin, les dispositions légales applicables en matière de réduction des primes d'assurance-maladie ne traitent pas de la prise en compte d'un enfant majeur encore en formation chez le parent ne vivant pas en ménage commun avec lui. Le Tribunal cantonal a déjà eu l'occasion de se prononcer à ce sujet et a rappelé que la famille doit être considérée comme une entité économique. A cet égard, tous les enfants qui sont effectivement à charge du ou des parents demandant la réduction des primes doivent être pris en compte dans la détermination de la limite de revenu, qu'ils vivent avec le parent ou non, dans ce dernier cas aussi longtemps qu'ils les soutiennent régulièrement par des contributions d'entretien (arrêt TC FR 605 2012 276 du 26 mars 2014 consid. 3 et 4).</w:t>
      </w:r>
    </w:p>
    <w:p>
      <w:r>
        <w:rPr>
          <w:b/>
        </w:rPr>
        <w:t>E. 3</w:t>
      </w:r>
    </w:p>
    <w:p>
      <w:r>
        <w:t>Dans le cas d'espèce, est litigieux le droit de la famille du recourant à pouvoir bénéficier de réductions de primes de l'assurance-maladie pour un montant plus élevé que celui alloué en 2015. Il ressort du dossier que la Caisse s'est basée, dans sa décision sur réclamation du 15 avril 2015, sur l'avis de taxation pour la période fiscale 2013, pour examiner le droit éventuel des assurés à une réduction de leurs primes d'assurance-maladie pour l'année 2015. L'expression "la taxation de la dernière période fiscale" mentionnée à l'art. 14 al. 1 LALAMal et 5 al. 1 let. a ORP doit en effet être comprise comme étant la dernière période fiscale disponible au moment de l'examen du droit aux prestations des assurés. On ne saurait remettre en cause la manière de procéder de la Caisse étant donné que cette dernière s'appuie, chaque année et pour chaque assuré, sur une base comparable garantissant une égalité de traitement entre tous les assurés. Il convient ensuite d'examiner si les conditions posées à l'art. 5 al. 7 ORP – lequel permet de recourir si nécessaire à des données plus récentes – sont remplies pour que référence soit faite à la situation fiscale plus actuelle, en l'occurrence celle de l'année 2014. Or, les intéressés ont obtenu une réduction de leurs primes d'assurance-maladie pour l'année 2014. Une des conditions cumulatives de l'art. 5 al. 7 ORP fait dès lors défaut. Par conséquent, il y a lieu d'admettre que l'autorité intimée était légitimée à se baser sur l'avis de taxation pour la période fiscale 2013 pour fixer le revenu déterminant pour l'examen du droit éventuel des assurés aux subsides pour l'année 2015. Il faut rappeler ici qu'il se justifie que la procédure relative à la réduction des primes suive un certain schématisme pour être efficace et favoriser l'égalité de traitement entre les assurés (cf. arrêt TF FR 608 2013 5 du 22 septembre 2014 consid. 6b). A la lecture de l'avis de taxation pour l'année 2013, le revenu net (poste 4.910) s'est monté à CHF 64'230.-. Conformément à l'art. 5a al. 1 ORP, s'y ajoute un montant de CHF 16'347.-. Ce montant est composé des primes et cotisations d’assurance (codes 4.110 à 4.140; en l'occurrence CHF 14'880.-, CHF 335.- et CHF 1'132.-), des intérêts passifs privés pour la part qui excède CHF 30'000.- (code 4.210; en l'occurrence CHF 0.-), des frais d’entretien d’immeubles privés pour la part qui excède CHF 15'000.- (code 4.310; en l'occurrence CHF 0.-) et du vingtième (5%) de la fortune imposable (code 7.910; en l'occurrence CHF 0.-). Par conséquent, le revenu déterminant est de CHF 80'577.-.</w:t>
      </w:r>
    </w:p>
    <w:p>
      <w:r>
        <w:t>Tribunal cantonal TC Page 5 de 5 Partant, c'est à juste titre que l'autorité intimée a retenu un taux de réduction des primes de 16% en application de l'art. 6 al. 1 let. a ORP (revenu déterminant de moins de 15 % inférieur à la limite légale de CHF 88'400.-. Pour l'année 2015, les primes annuelles moyennes applicables dans la région de prime 2 se montent à CHF 4'488.- (adultes), CHF 4'152.- (jeunes) et CHF 1'032.- (enfants) selon l'ordonnance du DFI relative aux primes moyennes 2015 de l'assurance obligatoire des soins pour le calcul des prestations complémentaires (RS 831.309.1). Réduites à leur 95% (art. 6 al. 3 ORP) et compte tenu d'un taux de 16% (art. 6 al. 1 ORP) pour les adultes et de 50% pour les enfants et les jeunes adultes en formation jusqu’à 25 ans (art. 6 al. 2 ORP), cela correspond à des montants mensuels de CHF 56.95 (adultes), CHF 164.50 (jeunes) et CHF 41.- (enfants). Ces montants sont ceux retenus par l'autorité intimée dans sa décision sur réclamation du 15 avril 2015 ici litigieuse.</w:t>
      </w:r>
    </w:p>
    <w:p>
      <w:r>
        <w:rPr>
          <w:b/>
        </w:rPr>
        <w:t>E. 4</w:t>
      </w:r>
    </w:p>
    <w:p>
      <w:r>
        <w:t>Au vu de ce qui précède, le recours doit être rejeté et la décision sur réclamation attaquée, confirmée. En vertu du principe de gratuité de la procédure prévalant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mai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