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85 vom 24. Juni 2015</w:t>
      </w:r>
    </w:p>
    <w:p>
      <w:r>
        <w:t>FR Kantonsgericht, 2015-06-24, DE</w:t>
      </w:r>
    </w:p>
    <w:p>
      <w:r>
        <w:rPr>
          <w:b/>
        </w:rPr>
        <w:t xml:space="preserve">Quelle: </w:t>
      </w:r>
      <w:r>
        <w:t>https://mcp.opencaselaw.ch/entscheid/fr_gerichte_608_2015_85</w:t>
      </w:r>
    </w:p>
    <w:p>
      <w:r>
        <w:t>FR: FR_GERICHTE 608 2015 85 du 24 juin 2015</w:t>
      </w:r>
    </w:p>
    <w:p>
      <w:r>
        <w:t>IT: FR_GERICHTE 608 2015 85 del 24 giugno 2015</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Die Beschwerde vom 27. April 2015 gegen den Einspracheentscheid vom 10. März 2015 wurde unter Berücksichtigung des Fristenstillstandes über die Osterfeiertrage (Art. 38 Abs. 4 lit. a des Bundesgesetzes vom</w:t>
      </w:r>
    </w:p>
    <w:p>
      <w:r>
        <w:rPr>
          <w:b/>
        </w:rPr>
        <w:t>E. 6</w:t>
      </w:r>
    </w:p>
    <w:p>
      <w:r>
        <w:t>Das kantonale Verfahren ist grundsätzlich kostenlos. Nur im Fall von mutwilliger oder leichtsinniger Prozessführung können Kosten auferlegt werden (Art. 61 lit. a ATSG). Auch wenn es vorliegend um einen Grenzfall geht, wird auf die Kostenerhebung verzichtet. Der bundesrechtliche</w:t>
      </w:r>
    </w:p>
    <w:p>
      <w:r>
        <w:t>Kantonsgericht KG Seite 5 von 5 Grundsatz der Kostenfreiheit befreit auch von der Pflicht zur Zahlung einer Parteientschädigung an den obsiegenden Versicherungsträger (UELI KIESER, a.a.O., Art. 61 N. 33).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24. Juni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