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52 vom 12. Dezember 2016</w:t>
      </w:r>
    </w:p>
    <w:p>
      <w:r>
        <w:t>FR Kantonsgericht, 2016-12-12, FR</w:t>
      </w:r>
    </w:p>
    <w:p>
      <w:r>
        <w:rPr>
          <w:b/>
        </w:rPr>
        <w:t xml:space="preserve">Quelle: </w:t>
      </w:r>
      <w:r>
        <w:t>https://mcp.opencaselaw.ch/entscheid/fr_gerichte_608_2015_52</w:t>
      </w:r>
    </w:p>
    <w:p>
      <w:r>
        <w:t>FR: FR_GERICHTE 608 2015 52 du 12 décembre 2016</w:t>
      </w:r>
    </w:p>
    <w:p>
      <w:r>
        <w:t>IT: FR_GERICHTE 608 2015 52 del 12 dicembre 2016</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Aux termes de l'art. 43bis al. 1 de la loi du 20 décembre 1946 sur l'assurance-vieillesse et survivants (LAVS; RS 831.10), ont droit à l'allocation pour impotent les bénéficiaires de rentes de vieillesse ou de prestations complémentaires qui ont leur domicile et leur résidence habituelle (art. 13 LPGA) en Suisse et qui présentent une impotence (art. 9 de la loi fédérale du 6 octobre 2000 sur la partie générale du droit des assurances sociales [LPGA; RS 830.1]) grave, moyenne ou faible. La rente de vieillesse anticipée est assimilée à la perception d'une rente de vieillesse. L'al. 5 prévoit que la loi du 19 juin 1959 sur l'assurance-invalidité (LAI; RS 831.20) s'applique par analogie à l'évaluation de l'impotence; il incombe aux offices de l'assurance-invalidité de fixer le taux d'impotence à l'intention des caisses de compensation et le Conseil fédéral peut édicter des prescriptions complémentaires. Est réputée impotente toute personne qui, en raison d'une atteinte à sa santé, a besoin de façon permanente de l'aide d'autrui ou d'une surveillance personnelle pour accomplir des actes élémentaires de la vie quotidienne (art. 9 LPGA), applicable par le renvoi de l'art. 1 al. 1 LAVS. Selon l'art. 66bis al. 1 du règlement du 31 octobre 1947 sur l'assurance-vieillesse et survivants (RAVS; RS 831.101), l'art. 37 al. 1, 2 let. a et b, et 3 let. a à d du règlement du 17 janvier 1961 sur l'assurance-invalidité (RAI) est applicable par analogie à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l'assurance-invalidité de l'OFAS [ci-après: CIIAI],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t>Tribunal cantonal TC Page 4 de 7 L'art. 38 al. 1 RAI prévoit que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b) Selon le ch. 8010 CIIAI, les actes ordinaires de la vie les plus importants se répartissent en six domaines: se vêtir, se dévêtir (éventuellement adapter la prothèse ou l'enlever); se lever, s'asseoir, se coucher (y compris se mettre au lit ou le quitter); manger (apporter le repas au lit, couper des morceaux, amener la nourriture à la bouche, réduire la nourriture en purée et prise de nourriture par sonde); faire sa toilette (se laver, se coiffer, se raser, prendre un bain/se doucher); aller aux toilettes (se rhabiller, hygiène corporelle/vérification de la propreté, façon inhabituelle d'aller aux toilettes); se déplacer (dans l'appartement, à l'extérieur, entretien des contacts sociaux).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c) Pour sa part,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Une telle surveillance est nécessaire par exemple lorsque cette dernière ne peut être laissée seule toute la journée en raison de défaillances mentales (RCC 1986 p. 512, consid. 1a avec renvois), ou lorsqu’un tiers doit être présent toute la journée, sauf pendant de brèves interruptions, auprès de la personne assurée parce qu’elle ne peut être laissée seule (RCC 1989 p. 190, consid. 3b, 1980 p. 64, consid. 4b; voir no 8020).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(arrêt TF 9C_608/2007 du 31 janvier 2008). En principe, peu importe l’environnement dans lequel celle-ci se trouve. En évaluant l’impotence, on ne saurait faire aucune différence selon que la personne vit dans sa famille, en logement privé ou dans un foyer. La nécessité d’une surveillance doit être admise s’il s’avère que la personne assurée, laissée sans surveillance, mettrait en danger de façon très probable soit elle-même soit des tiers (CIIAI, ch. 8035). On n’accordera qu’une importance minimale à la surveillance personnelle dans les cas d’impotence grave, étant donné que par définition, l’impotence grave présuppose que la personne assurée dépende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(CIIAI, ch. 8037). Pour les mineurs, une surveillance permanente peut ouvrir le droit à un supplément pour soins intenses (CIIAI, ch. 8039).</w:t>
      </w:r>
    </w:p>
    <w:p>
      <w:r>
        <w:t>Tribunal cantonal TC Page 5 de 7 d)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p. 352).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Le début de l'impotence doit être fixé aussi précisément que possible. Dans les cas de première demande d'allocation pour impotent, l'office AI procède toujours à une enquête sur place. Dans les autres cas, il peut décider de ne pas le faire (CIIAI, ch. 8131).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w:t>
      </w:r>
    </w:p>
    <w:p>
      <w:r>
        <w:rPr>
          <w:b/>
        </w:rPr>
        <w:t>E. 3</w:t>
      </w:r>
    </w:p>
    <w:p>
      <w:r>
        <w:t>Est litigieux le droit du recourant à une allocation pour impotent de degré moyen au moment où la décision sur opposition litigieuse a été rendue. L'autorité intimée s'étant exclusivement basée</w:t>
      </w:r>
    </w:p>
    <w:p>
      <w:r>
        <w:t>Tribunal cantonal TC Page 6 de 7 sur la prise de position de l'OAI, la Cour de céans a fait produire le dossier AI de l'assuré, ce dont les parties ont été informées. a) Le recourant soutient avoir besoin d'aide de la part d'un tiers de façon importante et régulière puisqu'il ne parvient pas à préparer seul ses repas et risque d'oublier de s'alimenter, ainsi que d'une surveillance de jour comme de nuit dans ses activités de la vie quotidienne sous risque de se mettre en danger. La Caisse allègue quant à elle que les déficits mnésiques et attentionnels dont souffre l'assuré ne peuvent être assimilés à une défaillance mentale justifiant une surveillance permanente personnelle et qu'il n'est pas probable que le recourant se mettrait en danger ou mettrait en danger les autres sans surveillance. b) En l'espèce, les conclusions de l'enquête du 1er septembre 2014 (dossier OAI p. 116) se recoupent avec le diagnostic posé le 15 novembre 2013 dans la lettre de sortie définitive de l'Hôpital B.________ (dossier OAI p. 137). Tous deux mentionnent en effet des crises d'épilepsie, des maux de tête, des troubles mnésiques, surtout de la mémoire à court terme, et un ralentissement psychomoteur léger. Un avis médical n'est ainsi pas nécessaire. Par contre, seul le rapport d'enquête précise les actes ordinaires de la vie pour lesquels le recourant a besoin d'aide. Son contenu n'est par ailleurs en soi pas contesté et correspond aux informations données dans le formulaire de demande d'allocation pour impotent du 6 juin 2014. Il est par conséquent pertinent. Les conditions pour obtenir une allocation pour impotent de degré moyen ne sont ici pas remplies: s'il ressort du rapport d'enquête que le recourant a besoin d'aide pour deux actes ordinaires de la vie – se déplacer à l'extérieur et se vêtir/dévêtir –, il n'y a pas de besoin de surveillance personnelle permanente. En effet, cette notion ne se rapporte pas aux actes ordinaires de la vie mais doit être comprise comme une assistance relevant de la médecine et des soins, spécialement nécessaire en raison de l’état de santé de la personne assurée. Or rien n'indique que le recourant ne peut pas être laissé seul. Il ne le prétend d'ailleurs pas. De plus, il n'explique pas concrètement comment il pourrait se mettre en danger et aucune mise en danger, que ce soit pour lui-même ou pour des tiers, n'est mentionnée dans un quelconque rapport avant le 23 juillet 2015 (dossier OAI p. 40), lorsque le médecin traitant a attesté d'un tentamen au propane. A cette occasion, celui-ci a indiqué avoir pris à cette date conscience du besoin de surveillance continue de l'assuré et que ce besoin existait probablement depuis l'accident d'octobre 2013. Cependant, le degré de vraisemblance ("probablement") n'est pas suffisant pour admettre que le besoin existait déjà dès octobre 2013, d'autant plus qu'aucun rapport médical ne mentionne un besoin de surveillance autre que celui indiqué dans le rapport d'enquête ou dans le formulaire de demande. Il est de plus peu vraisemblable que les médecins, que l'assuré consulte régulièrement, n'aient pas mentionné un tel besoin pendant près de 19 mois s'il existait. La lettre de sortie ne mentionne pas non plus la nécessité d'une surveillance personnelle mais précise que des stratégies ont été mises en place pour contrer les troubles mnésiques. Cela ressort également du rapport du 18 juin 2014 du médecin traitant qui indique comme moyens auxiliaires appropriés des post-its (dossier OAI p. 125). Quant au besoin d'aide pour préparer les repas et écarter le risque qu'il ne s'alimente pas, il n'entre pas dans la liste des actes ordinaires les plus importants retenus par la circulaire précitée. D'ailleurs, même si tel était le cas, le besoin d'aide dans quatre activités, aussi retenu par la pratique pour admettre un degré moyen, n'est pas atteint. Enfin, les conditions de l'art. 38 al. 1 RAI ne sont pas non plus remplies. Il n'est en effet ni allégué ni attesté que le recourant vivrait de manière dépendante, ne pourrait pas faire face aux nécessités de la vie ou serait isolé socialement du monde extérieur.</w:t>
      </w:r>
    </w:p>
    <w:p>
      <w:r>
        <w:t>Tribunal cantonal TC Page 7 de 7 Le recourant ayant toutefois besoin d'aide pour deux actes ordinaires de la vie, les conditions de l'art. 37 al. 3 RAI sont remplies et c'est ainsi à juste titre que l'autorité intimée lui a octroyé une allocation pour impotent de degré faible. c) Le recourant a produit un rapport médical du 10 juillet 2015 de son médecin traitant. Ce rapport est postérieur à la décision attaquée et ne concerne pas la période litigieuse, de sorte qu'il n'a pas à être pris en compte. Ce rapport et celui du 23 juillet 2015 attestent par contre d'une dégradation de son état de santé dès l'été 2015, ce qui justifie de renvoyer le dossier à l'autorité intimée pour instruction d'une demande de révision concernant la période postérieure à la décision litigieuse.</w:t>
      </w:r>
    </w:p>
    <w:p>
      <w:r>
        <w:rPr>
          <w:b/>
        </w:rPr>
        <w:t>E. 4</w:t>
      </w:r>
    </w:p>
    <w:p>
      <w:r>
        <w:t>Au vu de ce qui précède, le recours est rejeté et la décision attaquée est confirmée. Selon le principe de la gratuité de la procédure prévalant en la matière, il n'est pas perçu de frais de justice Succombant, le recourant n'a pas droit à des dépens.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décembre 2016/cso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