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239 vom 9. März 2017</w:t>
      </w:r>
    </w:p>
    <w:p>
      <w:r>
        <w:t>FR Kantonsgericht, 2017-03-09, FR</w:t>
      </w:r>
    </w:p>
    <w:p>
      <w:r>
        <w:rPr>
          <w:b/>
        </w:rPr>
        <w:t xml:space="preserve">Quelle: </w:t>
      </w:r>
      <w:r>
        <w:t>https://mcp.opencaselaw.ch/entscheid/fr_gerichte_608_2015_239</w:t>
      </w:r>
    </w:p>
    <w:p>
      <w:r>
        <w:t>FR: FR_GERICHTE 608 2015 239 du 9 mars 2017</w:t>
      </w:r>
    </w:p>
    <w:p>
      <w:r>
        <w:t>IT: FR_GERICHTE 608 2015 239 del 9 marzo 2017</w:t>
      </w:r>
    </w:p>
    <w:p>
      <w:pPr>
        <w:pStyle w:val="Heading2"/>
      </w:pPr>
      <w:r>
        <w:t>Regeste</w:t>
      </w:r>
    </w:p>
    <w:p>
      <w:r>
        <w:t>Arrêt de la IIe Cour des assurances sociales du Tribunal cantonal | Alters- und Hinterlassenenversicherung</w:t>
      </w:r>
    </w:p>
    <w:p>
      <w:pPr>
        <w:pStyle w:val="Heading2"/>
      </w:pPr>
      <w:r>
        <w:t>Erwägungen</w:t>
      </w:r>
    </w:p>
    <w:p>
      <w:r>
        <w:rPr>
          <w:b/>
        </w:rPr>
        <w:t>E. 11</w:t>
      </w:r>
    </w:p>
    <w:p>
      <w:r>
        <w:t>novembre 2015 et conclut, sous suite de frais et dépens, à son annulation. Il reproche à la Caisse de n'avoir pas tenu compte du fait que la société n'a jamais été en mesure de disposer de l'argent nécessaire au paiement des salaires et des charges sociales. Il estime également que les documents sur lesquels la Caisse se base ne sont pas pertinents. Par renvoi à son opposition du 21 octobre 2015, il soutient que la société n'a pratiquement pas eu d'activité et qu'elle n'était pas redevable des salaires pris en compte pour le calcul des cotisations. De plus, C.________, en tant qu'entrepreneur indépendant, a mené personnellement les travaux et chantiers de la société pour lesquels cette personne a elle-même engagé les ouvriers et a encaissé directement les factures y relatives, privant de ce fait la société de revenus. Le 11 janvier 2016, la Caisse maintient sa position.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L'article 14 al. 1 de la loi du 20 décembre 1946 sur l'assurance-vieillesse et survivants (LAVS; RS 831.10),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w:t>
      </w:r>
    </w:p>
    <w:p>
      <w:r>
        <w:t>Tribunal cantonal TC Page 3 de 6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(ATF 111 V 173 consid. 2; 108 V 186 consid. 1a; 192 consid. 2a; RCC 1985 p. 646 consid. 3a, 650 consid. 2, 1983 p. 100, 1978 p. 258). Selon cette dernière disposition,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b) La responsabilité subsidiaire au sens de l'art. 52 LAVS suppose que la personne intéressée soit un organe formel ou de fait de l'employeur assujetti à l'obligation de payer des cotisations. Les organes formels d'une société anonyme sont principalement les membres du conseil d'administration (ATF 132 III 523 consid. 4.5).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114 V 213 consid. 3). Conformément à la jurisprudence en matière de responsabilité du droit de la société anonyme, dont les principes s'appliquent dans le cadre de l'art. 52 LAVS (ATF 114 V 214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(arrêt TF 9C_428/2013 du 16 octobre 2013 consid. 4.2).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(arrêts TF 9C_428/2013 du 16 octobre 2013 consid. 4.2 et 9C_535/2008 du 3 décembre 2008 consid. 2; ATF 134 V 401 consid. 5.1; 103 V 120 consid. 5; M. REICHMUTH, Die Haftung des Arbeitgebers und seiner Organe nach Art. 52 AHVG, 2008, n. 244 ss et 256 ss).</w:t>
      </w:r>
    </w:p>
    <w:p>
      <w:r>
        <w:t>Tribunal cantonal TC Page 4 de 6 c)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du 19 juin 1959 sur l'assurance-invalidité (LAI; RS 831.20), de la loi du 25 septembre 1952 sur le régime des allocations pour perte de gain en faveur des personnes servant dans l'armée ou dans la protection civile (LAPG; RS 834.1) et, le cas échéant, de la loi du 20 juin 1952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d'assurance-chômage non réglées (cf. FRESARD, p. 8 ss ch. 9 et 10; ATF 113 V 186). d)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l'intéressé. L'ancien Tribunal fédéral des assurances (ci- après: TFA) a admis ainsi notamment la négligence grave dans les cas où l'employeur déduit les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w:t>
      </w:r>
    </w:p>
    <w:p>
      <w:r>
        <w:t>Tribunal cantonal TC Page 5 de 6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3. En l'espèce, est litigieuse la responsabilité personnelle du recourant, au sens de l'art. 52 LAVS, pour le dommage causé à la Caisse. a) En tant qu'administrateur unique avec signature individuelle, le recourant avait indiscutablement qualité d'organe formel, ce qu'il ne conteste d'ailleurs pas. Aussi, en cette qualité, lui incombait-il de veiller à ce que les cotisations paritaires afférentes aux salaires versés soient effectivement payées à la Caisse, conformément aux prescriptions légales. b) Le recourant invoque comme premier motif disculpant le fait que la société n'a pratiquement pas eu d'activité, qu'elle n'a jamais disposé de l'argent nécessaire au paiement des salaires et des charges sociales et qu'elle n'était pas redevable des salaires pris en compte pour le calcul des cotisations. Cependant, l'absence de ressources financières n'est pas à elle seule un motif suffisant pour le disculper. Par ailleurs, la société a reconnu devoir des salaires à cinq employés lors de séances de conciliation devant les Prud'hommes. La lettre du 19 septembre 2013 adressé à la Caisse indique clairement la signature des "contrats d'engagement" dès le 2 août 2012 et le recourant a signé au nom de la société les attestations de salaires adressées à la Caisse. Partant, la société a engagé du personnel et elle était tenue de verser salaires et cotisations sociales dès ce moment. Le fait qu'elle n'aurait eu que peu d'activité, ce qui n'est au demeurant pas établi, n'est pas déterminant. Au surplus, le recourant n'a pas allégué et encore moins apporté la preuve qu'il aurait retardé le paiement des cotisations pour essayer de sauver sa société. Le recourant estime ensuite que les documents sur lesquels la Caisse se base ne seraient pas pertinents. On ne voit pas pourquoi tel serait le cas, les pièces du dossier étant clairement en lien direct avec le litige, notamment celles établissant l'engagement de travailleurs (cf. dossier de la Caisse: décisions des prud'hommes, rapport de contrôle, etc.). Le recourant prétend enfin que C.________, en tant qu'entrepreneur indépendant, aurait mené personnellement les travaux et chantiers pour lesquels il aurait engagé les ouvriers; il aurait ensuite encaissé directement les factures y relatives. Le recourant ne prouve toutefois pas que tel était effectivement le cas, le document joint à son opposition du 21 octobre 2015 n'établissant pas que le chantier concerné aurait été confié au précité. Il n'allègue pas non plus avoir tenté de récupérer ces montants. Au demeurant, on ignore tout des rapports existants entre la société et C.________, celui-ci figurant sur la déclaration des salaires versés par l'employeur à son personnel (ci-après déclaration des salaires) pour l'année 2013 alors que le recourant soutient qu'il aurait été indépendant. Il ressort de plus des pièces du dossier que le recourant a signé les déclarations de salaires pour octobre à décembre 2012 et pour 2013, de même qu'il a représenté la société en justice le 17 janvier 2013 et le 22 janvier 2013 dans les deux affaires prud'homales,</w:t>
      </w:r>
    </w:p>
    <w:p>
      <w:r>
        <w:t>Tribunal cantonal TC Page 6 de 6 ce qui démontre que c'est bien la société qui engagé des ouvriers, et non C.________. Ainsi, il ne saurait y avoir une interruption du lien de causalité. c) Le recourant est recherché pour un montant de CHF 21'452.80 correspondant à la somme des cotisations sociales impayées par la société pour les périodes d'octobre à décembre 2012 et de février 2013 à février 2014, plus le décompte final 2012, les intérêts et les frais de poursuites. Le montant du dommage n'est en lui-même pas contesté par le recourant. Il correspond également au solde de l'extrait de compte actualisé au 9 septembre 2016 produit par la Caisse à la demande de la Cour de céans. d) Enfin, si le recourant avait correctement exécuté son mandat d'administrateur, il aurait dû veiller au paiement des cotisations sociales ou, à tout le moins, prendre des mesures lorsqu'il a constaté que celles-ci n'étaient pas acquittées. Son comportement est dès lors en relation de causalité naturelle et adéquate avec le dommage subi par la Caisse. 4. Au vu de ce qui précède, le recours doit être rejeté et la décision sur opposition attaquée confirmée. Conformément au principe de la gratuité de la procédure prévalant en la matière, il n'est pas perçu de frais de justice. Succombant, le recourant n'a pas droit à des dépens. la Cour arrête: I. Le recours est rejeté. Partant, le recourant doit la somme de CHF 21'452.80 à l'autorité intimée correspondant aux cotisations sociales non payées.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