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19 vom 6. Februar 2017</w:t>
      </w:r>
    </w:p>
    <w:p>
      <w:r>
        <w:t>FR Kantonsgericht, 2017-02-06, FR</w:t>
      </w:r>
    </w:p>
    <w:p>
      <w:r>
        <w:rPr>
          <w:b/>
        </w:rPr>
        <w:t xml:space="preserve">Quelle: </w:t>
      </w:r>
      <w:r>
        <w:t>https://mcp.opencaselaw.ch/entscheid/fr_gerichte_608_2015_19</w:t>
      </w:r>
    </w:p>
    <w:p>
      <w:r>
        <w:t>FR: FR_GERICHTE 608 2015 19 du 6 février 2017</w:t>
      </w:r>
    </w:p>
    <w:p>
      <w:r>
        <w:t>IT: FR_GERICHTE 608 2015 19 del 6 febbraio 2017</w:t>
      </w:r>
    </w:p>
    <w:p>
      <w:pPr>
        <w:pStyle w:val="Heading2"/>
      </w:pPr>
      <w:r>
        <w:t>Regeste</w:t>
      </w:r>
    </w:p>
    <w:p>
      <w:r>
        <w:t>Arrêt de la IIe Cour des assurances sociales du Tribunal cantonal | Invalidenversicherung</w:t>
      </w:r>
    </w:p>
    <w:p>
      <w:pPr>
        <w:pStyle w:val="Heading2"/>
      </w:pPr>
      <w:r>
        <w:t>Erwägungen</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w:t>
      </w:r>
    </w:p>
    <w:p>
      <w:r>
        <w:t>Tribunal cantonal TC Page 7 de 14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w:t>
      </w:r>
    </w:p>
    <w:p>
      <w:r>
        <w:rPr>
          <w:b/>
        </w:rPr>
        <w:t>E. 5</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w:t>
      </w:r>
    </w:p>
    <w:p>
      <w:r>
        <w:t>Tribunal cantonal TC Page 8 de 14 d’appréciations médicales, qui elles, se fondent sur un examen personnel de l’assuré (RAMA 2001 no U 438 p. 345; arrêt TF U 233/02 du 14 juin 2004 consid. 3.1). c)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w:t>
      </w:r>
    </w:p>
    <w:p>
      <w:r>
        <w:rPr>
          <w:b/>
        </w:rPr>
        <w:t>E. 6</w:t>
      </w:r>
    </w:p>
    <w:p>
      <w:r>
        <w:t>La recourante ne remet pas en cause le choix de la méthode mixte. Dans ses objections au premier projet de décision du 5 février 2013, elle en a même demandé l'application, précisant qu'elle "travaille à 80% et consacre 20% de son temps à la tenue du ménage" (dossier OAI, pièce 288). Cela n'est pas non plus contesté par l'autorité intimée. En outre, le cas d'espèce ne s'inscrit pas dans le contexte particulier de la révision du droit aux prestations d’une assurée à la suite de la naissance de ses enfants, de sorte que l'application de la méthode mixte n'est pas remise en cause par l'arrêt de la CourEDH Di Trizio c. Suisse précité (cf. arrêt TF 9F_8/2016 du 20 décembre 2016 consid. 4.4). La répartition entre tâches ménagères (20%) et activité lucrative (80%) n'est pas contestée non plus.</w:t>
      </w:r>
    </w:p>
    <w:p>
      <w:r>
        <w:rPr>
          <w:b/>
        </w:rPr>
        <w:t>E. 7</w:t>
      </w:r>
    </w:p>
    <w:p>
      <w:r>
        <w:t>Dans la décision litigieuse, l'autorité intimée a octroyé un quart de rente pour une durée limitée de six mois. Elle considère dès lors qu'il existe un changement important des circonstances propre à influencer le degré d'invalidité, et donc le droit à la rente. Toutefois, cette distinction entre deux périodes d'invalidité n'est confirmée par aucune pièce du dossier. En particulier, les médecins ne modifient pas leurs diagnostics ou leur évaluation de la capacité de travail de leur patiente entre le dépôt de la demande de prestation le 7 septembre 2011 et la décision litigieuse du 12 décembre 2014. Durant cette période, ils ne mentionnent également pas d'amélioration de l'état de santé, celui-ci étant plutôt considéré comme stabilisé ou s'aggravant.</w:t>
      </w:r>
    </w:p>
    <w:p>
      <w:r>
        <w:t>Tribunal cantonal TC Page 9 de 14 En outre, l'argumentation de l'autorité est contradictoire dans la mesure où elle distingue deux périodes dans "l'activité lucrative" mais fait état d'un degré d'invalidité inchangé sur le plan ménager. Il apparaît peu vraisemblable qu'une amélioration de la capacité de travail d'une telle importance sur le plan lucratif ne se répercute pas sur le plan ménager. Partant, en l'absence d'amélioration sensible de l'état de santé entre le dépôt de la demande de prestation et la décision litigieuse, il n'y avait pas lieu de procéder à une révision et, par conséquent, d'octroyer une rente pour une durée limitée. La question de la capacité de travail de la recourante devait être examinée sur une seule et unique période.</w:t>
      </w:r>
    </w:p>
    <w:p>
      <w:r>
        <w:rPr>
          <w:b/>
        </w:rPr>
        <w:t>E. 8</w:t>
      </w:r>
    </w:p>
    <w:p>
      <w:r>
        <w:t>avril 2015, p. 3). Cet unique reproche n'est pas pertinent s'agissant de l'évaluation de la valeur probante du rapport médical. Au contraire, le rhumatologue-traitant examine de manière détaillée les différents points litigieux, explicitant les motifs pour lesquels il convient de s'écarter de l'avis du médecin-SMR. A cet égard, on peut relever qu'invité à se prononcer à ce propos, ce dernier se contente d'indiquer qu'il s'agit d'une appréciation différente de la même situation sans pour autant expliquer pourquoi son avis – totalement isolé – doit primer. A cet égard, il semble que le Dr H.________ s'est fondé sur des examens complets – notamment des IRM – et prend en considération les plaintes de sa patiente sans pour autant qu'elles dictent seules son opinion médical. En outre, suivant la recourante à tout le moins depuis 1998 pour des "troubles vertébraux" (cf. annexe des contre-observations, certificat du 8 octobre 1998) et ayant des contacts avec les autres médecins de l'assurée, le rhumatologue traitant a pleine connaissance de l'anamnèse et du contexte médical. Dans ses différents rapports, il présente clairement la situation et motive de manière précise ses conclusions, allant même jusqu'à distinguer l'impact de chaque atteinte (cervicale et lombaire) sur la capacité de travail. Son avis, suffisamment motivé, convainc la Cour. Des remarques similaires peuvent être faites à l'égard des rapports de la Dresse G.________ qui présente également un avis bien motivé (dossier OAI, pièces 349 et 398). Enfin, il est patent que l'"expertise" du Dr L.________, faite sur mandat de l'assureur-maladie, ne peut pas se voir reconnaître la valeur probante généralement reconnue aux expertises.</w:t>
      </w:r>
    </w:p>
    <w:p>
      <w:r>
        <w:t>Tribunal cantonal TC Page 11 de 14 Néanmoins, cela n'exclut pas pour autant l'utilisation de cet avis médical dans l'évaluation du présent cas. Certes cet avis n'est pas particulièrement motivé. Il l'est cependant tout autant que certains rapports du SMR dont se prévaut l'autorité intimée. A cet égard, on peut relever que les médecins-SMR se contentent essentiellement de résumer les rapports médicaux au dossier et d'affirmer qu'ils ne changent pas leur opinion médical, sans en expliciter les raisons (p. ex: dossier OAI, pièces 291, 350 et 416). Par son rapport du 16 janvier 2012, le Dr L.________ confirme l'avis des médecins traitants sans qu'on puisse lui faire reproche de l'existence d'une relation de confiance avec la recourante (dossier OAI, pièce 176). Il appert de ce qui précède que, sur le plan somatique, les médecins de l'assurée apparaissent plus convaincants que l'avis – isolé – du médecin-SMR. b) Sur le plan psychique, les parties ne contestent pas que la capacité de travail de l'assurée n'est pas touchée par d'éventuels troubles. A cet égard, la Cour relève d'abord que la recourante n'est pas régulièrement suivie par un psychiatre pour de tels troubles. On peut aussi relever que tant l'expert-psychiatre, le Dr E.________ (dossier OAI, pièce 225), que les médecins de la recourante admettent que les éventuels troubles psychiatriques de leur patiente n'influencent pas sa capacité de travail. Par exemple, le Dr H.________ indique qu'il n'a pas constaté de trouble psychiatrique particulier chez sa patiente (cf. not. dossier OAI, pièces 273 et 275). La Dresse J.________ souligne également que la consultation psychiatrique survenue au sein de sa clinique avait pour contexte un récent licenciement sans qu'une influence sur la capacité de travail ne soit soulignée (dossier OAI, pièce 307). c) Partant, la Cour retient que, tant dans l'ancienne activité que dans une activité adaptée à son état de santé, la capacité de travail de la recourante est de 50%. Auprès de son ancien employeur, à un taux de 80%, la recourante aurait obtenu un salaire de CHF 48'637.80 en 2011 (dossier OAI, pièce 138). Compte tenu de l'évolution des salaires nominaux (OFS, Tableau T39 Evolution des salaires nominaux), en 2014, ce salaire se serait monté à CHF 49'765.05. Ce montant de CHF 49'765.05 peut être retenu comme salaire de valide. S'agissant du salaire d'invalide et en l'absence d'un revenu effectivement réalisé, il convient de se fonder sur la moyenne statistique de l'Enquête suisse sur la structure des salaires 2012 (ESS). Dès lors qu'elle est titulaire de l'équivalent d'un CFC et au vu de son expérience professionnelle, il convient de se fonder sur le tableau TA1_skill_level, salaires totaux, niveau de compétence 2, femmes (cf. arrêt TF 9C_607/2015 du 20 avril 2016 consid. 5.3.2 et les références). Le montant statistique de CHF 4'646.- doit être indexé pour l'année 2014 (OFS, tableau T39 Evolution des salaires nominaux) ce qui aboutit à un montant de CHF 4'915.85. Dès lors que ce montant est fondé sur une durée de travail hebdomadaire de 40 heures, alors que la durée usuelle en 2014 est de 41,7 heures, le revenu mensuel à prendre en considération est de CHF 4'916.30, soit annuellement CHF 58'995.30. Ce montant doit être adapté à la capacité de travail réduite de la recourante (50%), ce qui donne un revenu de CHF 29'497.65. Au vu de la jurisprudence applicable en la matière, il n'est pas justifié de procéder à un abattement supplémentaire (arrêt TF 9C_607/2015 du 20 avril 2016 consid. 5.2 et 5.3.2 in fine). Ce montant de CHF 29'497.65 peut être retenu comme salaire d'invalide.</w:t>
      </w:r>
    </w:p>
    <w:p>
      <w:r>
        <w:t>Tribunal cantonal TC Page 12 de 14 Il découle de la comparaison du revenu de valide (CHF 49'765.05) avec celui d'invalide (CHF 29'497.65) un degré d'invalidité de 40.7% sur le plan lucratif.</w:t>
      </w:r>
    </w:p>
    <w:p>
      <w:r>
        <w:rPr>
          <w:b/>
        </w:rPr>
        <w:t>E. 9</w:t>
      </w:r>
    </w:p>
    <w:p>
      <w:r>
        <w:t>Il convient ensuite d'évaluer la capacité de travail de la recourante dans la partie dite "activité ménagère", prise en compte pour 20%. Dans le cadre de l'instruction du dossier, l'OAI a diligenté une enquête ménagère au domicile de l'assurée le 30 juillet 2013 (cf. dossier OAI, pièce 314). C'est sur cette base qu'il a évalué l'invalidité dans l'activité ménagère. La recourante remet en cause la valeur probante de ce rapport d'enquête. Elle se plaint d'abord du fait que l'enquêteur n'ait pas procédé à une vision locale "afin de se rendre compte des difficultés rencontrées par [la recourante] dans l'accomplissement des tâches quotidiennes. En effet, l'expert s'est contenté de poser diverses questions […] sans pour autant les prendre totalement en considération et sans procéder à une appréciation concrète de la situation". Cependant, cette critique n'est pas fondée dès lors que l'enquête a été réalisée à son domicile et a permis à l'enquêteur d'observer l'aménagement général de l'habitation et sa situation locale. Par exemple, l'expert a pu se rendre compte par lui-même que la recourante et son époux habitaient au troisième étage d'un immeuble sans ascenseur. En vertu du pouvoir d'appréciation qui lui est reconnu, il ne lui était pas nécessaire de visiter chaque pièce en détail. La recourante procède ensuite à une contestation systématique de certains postes retenus par l'enquêteur. En l'occurrence, il n'est pas nécessaire de revenir sur les points non contestés, soit les empêchements retenus aux postes "soin aux enfants" (0% pondéré à 0%) et "divers" (10% pondérés à 45%) ainsi que la pondération des différents postes. Cela étant, dans le poste "conduite du ménage", la recourante estime que la médication importante et ses douleurs l'empêchent de conduire son ménage. Tant l'importance de la médication que celle de la douleur ne sont pas contestées en l'espèce. Néanmoins, la conduite du ménage consiste en des tâches essentiellement intellectuelles (planification, organisation, répartition du travail, contrôle). En l'occurrence, des limitations dans ce domaine ne ressortent pas du rapport d'expertise du Dr E.________, lequel fait notamment état d'une cognition dans la norme et de l'absence de troubles de la mémoire, du discours, de la pensée ou de l'attention (dossier OAI, pièce 225). On ne saurait dès lors tenir compte d'un empêchement dans le poste "conduite du ménage" (0% pondéré à 2%). S'agissant du poste "alimentation" (20% pondérés à 24%), la recourante soutient qu'elle n'est pas en mesure d'utiliser des escabeaux ou des échelles, que l'approvisionnement est difficile du fait que son domicile est au troisième étage et qu'elle ne peut pas porter de lourdes charges. A cet égard, elle souligne que son époux est également atteint dans sa santé et ne lui est pas d'une grande aide. L'existence de difficultés n'est pas contestée. Cependant, au regard de son obligation de diminuer le dommage, on peut attendre de la recourante qu'elle adapte ses méthodes de travail, par exemple en organisant son espace de manière à s'affranchir de l'usage d'un escabeau et en gardant le plus possible ses provisions à l'étage. La problématique des courses a été prise en compte sous la fonction "emplettes". Partant, en l'espèce, la prise en compte d'un empêchement à hauteur de 20% n'est pas contestable. En relation avec l'"entretien du logement" (30% pondérés à 12%), la recourante soutient être totalement inapte à faire de nombreuses tâches – essentiellement les activités lourdes – de sorte que le 30% retenu lui semble insuffisant. L'autorité intimée admet que l'état de santé de son assurée l'empêche de réaliser la plupart des tâches, soit environ 65% d'entre elles. Mais elle estime qu'une aide du conjoint (35%) est exigible pour les tâches les plus lourdes. On peut, sur ce</w:t>
      </w:r>
    </w:p>
    <w:p>
      <w:r>
        <w:t>Tribunal cantonal TC Page 13 de 14 plan, rappeler que l’aide des proches va plus loin que ce que l’on pourrait normalement attendre d’eux si la personne ne présentait pas d’atteinte à la santé (cf. ATF 133 V 509 consid. 4.2). En l'occurrence, retenir un empêchement de 30% est sévère. Cela demeure cependant admissible compte tenu du pouvoir d'appréciation de l'autorité intimée. On ne saurait dès lors revenir sur ce point. Quant au poste "achats et courses diverses" (10% pondérés à 7%), la recourante se plaint du fait qu'il n'a pas été tenu compte du fait qu'elle habite au 3e étage d'un immeuble sans ascenseur. Elle estime encore que c'est à tort que l'autorité intimée a considéré qu'elle pouvait utiliser les outils informatiques et de livraison à domicile pour réduire son dommage. Cependant, prendre en compte le fait que la recourante habite au 3e étage sans ascenseur comme un empêchement serait constitutif une violation de l'égalité de traitement, car un traitement différent serait uniquement fondé sur le choix des assurés d'habiter ou non dans un immeuble pourvu d'un ascenseur. En outre, on peut raisonnablement exiger d'une assurée qu'elle diminue son dommage en utilisant les nouvelles technologies. Cela est d'autant plus le cas en l'espèce, l'assurée étant en effet familiarisée à de tels outils au vu des divers certificats et diplômes en informatiques qu'elle possède (cf. not. CV et ses annexes, dossier OAI, pièces 100ss). Certes, ne retenir qu'un empêchement de 10% est sévère, cela demeure cependant dans le pouvoir d'appréciation de l'autorité intimée. Enfin, dans le poste "lessive et entretien des vêtements" (10% pondérés à 10%), la recourante affirme que la lessive est pratiquement impossible à effectuer dans la mesure où elle doit porter une corbeille à linge en montant et descendant trois étages. De telles difficultés ne sont pas contestées en l'espèce. Il a néanmoins été constaté que l'assurée a adapté sa manière de procéder pour tenir compte de son handicap. On peut également relever que la recourante pourrait procéder à un aménagement de son apparemment en installant une machine à laver à son étage, une telle installation pouvant, éventuellement, être pris en charge par l'OAI au titre de moyens auxiliaires. Bien que cela soit sévère, c'est à juste titre qu'il a été tenu compte d'un empêchement à hauteur de 10%. Au vu de ce qui précède, les griefs de la recourante ne remettent pas en cause la valeur probante du rapport d'enquête domiciliaire. Ce rapport traite de manière approfondie des points litigieux importants et prend en considération les plaintes exprimées par l'assurée. Il a de plus été établi en pleine connaissance du dossier et expose clairement la situation de l'assurée dans son ménage. Le rapport d'enquête domiciliaire constitue une base fiable de décision dont l'appréciation ne saurait être remise en cause par la Cour de céans. C'est à juste titre que l'autorité intimée a retenu que l'assurée subissait, sur le plan ménager, une perte de rendement de 14.6%.</w:t>
      </w:r>
    </w:p>
    <w:p>
      <w:r>
        <w:rPr>
          <w:b/>
        </w:rPr>
        <w:t>E. 10</w:t>
      </w:r>
    </w:p>
    <w:p>
      <w:r>
        <w:t>Compte tenu d'un degré d'invalidité de 40.70% sur le plan lucratif (80%) et de 14.60% sur le plan ménager (20%), le degré d'invalidité de l'assurée selon la méthode mixte de comparaison des revenus est de 35.50%. Ce taux est insuffisant pour l'octroi d'une rente. De surcroit, même si l'autorité intimée avait été moins sévère dans l'évaluation de l'invalidité sur le plan ménager et avait retenu des empêchements à hauteur de 45% pour l'"entretien du logement", de 25% pour l'"achats et courses diverses" et de 25% dans le poste "lessive et entretien des vêtements", le degré d'invalidité de l'assurée demeurerait inférieur à 40% (36,3%).</w:t>
      </w:r>
    </w:p>
    <w:p>
      <w:r>
        <w:t>Tribunal cantonal TC Page 14 de 14 Il ressort de ce qui précède que l'atteinte à la santé ne présente pas un degré de gravité suffisant justifiant le versement d'une rente alors que la recourante a bénéficié d'un quart de rente pour une période limitée. L'OAI, tout en ayant été conscient d'une erreur d’appréciation pour la période entre le 1er février 2012 et le 31 août 2012 pour laquelle un quart de rente a été allouée, a renoncé de proposer la reformatio in peius. Le Tribunal ne voit en l’espèce pas de raison de se distancier de cette appréciation.</w:t>
      </w:r>
    </w:p>
    <w:p>
      <w:r>
        <w:rPr>
          <w:b/>
        </w:rPr>
        <w:t>E. 11</w:t>
      </w:r>
    </w:p>
    <w:p>
      <w:r>
        <w:t>De l'ensemble des éléments qui précèdent, le recours doit être rejeté et la décision querellée confirmée. Les frais de justice, fixés à CHF 800.-, sont mis à la charge de la recourante. Ils sont toutefois compensés avec l'avance effectuée par cette dernière du même montant. Il n'est pas alloué de dépens. la Cour arrête: I. Le recours est rejeté. II. Les frais de justice, fixés à CHF 800.-, sont mis à la charge de la recourante.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