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136 vom 15. Februar 2017</w:t>
      </w:r>
    </w:p>
    <w:p>
      <w:r>
        <w:t>FR Kantonsgericht, 2017-02-15, FR</w:t>
      </w:r>
    </w:p>
    <w:p>
      <w:r>
        <w:rPr>
          <w:b/>
        </w:rPr>
        <w:t xml:space="preserve">Quelle: </w:t>
      </w:r>
      <w:r>
        <w:t>https://mcp.opencaselaw.ch/entscheid/fr_gerichte_608_2015_136</w:t>
      </w:r>
    </w:p>
    <w:p>
      <w:r>
        <w:t>FR: FR_GERICHTE 608 2015 136 du 15 février 2017</w:t>
      </w:r>
    </w:p>
    <w:p>
      <w:r>
        <w:t>IT: FR_GERICHTE 608 2015 136 del 15 febbraio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est réputée invalidité l'incapacité de gain totale ou partielle qui est présumée permanente ou de longue durée. Selon l'art. 4 al. 1 de la loi du 19 juin 1959 sur l'assurance-invalidité (LAI; RS 831.20), dite invalidité peut résulter d'une infirmité congénitale, d'une maladie ou d'un accident. Cette incapacité de gain résulte, selon l'art. 7 LPGA, d'une atteinte à la santé physique, mentale ou psychique. Il n’y a toutefois incapacité de gain que si celle-ci n’est pas objectivement surmontable. b)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fixer le revenu d'invalide est déterminante la question de savoir si l'assuré peut économiquement utiliser ses forces de travail résiduelles. Font partie du marché du travail équilibré</w:t>
      </w:r>
    </w:p>
    <w:p>
      <w:r>
        <w:t>Tribunal cantonal TC Page 4 de 9 les "emplois de niche" pour personnes handicapées (Nischenarbeitsplätze), soit les emplois ou offres d'emploi destinées aux handicapés avec soutien social de la part de l'employeur. Par ailleurs, on ne peut plus parler d'opportunité de travail lorsque l'activité convenable n'est possible que sous une forme tellement restreinte que le marché du travail équilibré ne la connaît pratiquement pas ou lorsqu'elle ne serait possible que moyennant un revenu de complaisance, et que, par conséquent, trouver une telle place de travail apparaît a priori comme étant exclu (arrêt TF 9C_910/2001 du 30 mars 2012, consid. 3.1 et 3.2, et les références citées). En principe, les places de travail en atelier protégé ne font pas partie du marché du travail équilibré (Message relatif à la modification de la loi fédérale sur l’assurance-invalidité [6ème révision, deuxième volet] du 11 mai 2011, ch. 1.3.1.2. p. 5326; décision du Tribunal des assurances du Canton de St-Gall IV 2007/434 du 18 mai 2009, consid. 4.4).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126 V 75; 124 V 321 consid. 3b/aa).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Une déduction globale maximale de 25 %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8C_490/2011 du 11 janvier 2012 consid. 4 et 5;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w:t>
      </w:r>
    </w:p>
    <w:p>
      <w:r>
        <w:t>Tribunal cantonal TC Page 5 de 9 sous l'angle du taux d'abattement, se voir une nouvelle fois diminuer pour cette même raison (arrêt TF 8C_490/2011 précité consid. 4.2). c)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Un rapport du SMR constitue un rapport au sens de l'art. 59 al. 2bis LAI (en corrélation avec l'art. 49 al. 1 du règlement du 17 janvier 1961 sur l'assurance-invalidité [RAI; RS 831.201]).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p. 352), les autorités appelées à statuer ont en effet le devoir d'examiner objectivement tous les documents à disposition, quelle que soit leur provenance, puis de décider s'ils permettent de porter un jugement valable sur le droit litigieux (arrêt TF I 143/07 du 14 septembre 2007 consid. 3.3).</w:t>
      </w:r>
    </w:p>
    <w:p>
      <w:r>
        <w:t>Tribunal cantonal TC Page 6 de 9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w:t>
      </w:r>
    </w:p>
    <w:p>
      <w:r>
        <w:t>Est en l'espèce litigieuse la question de savoir si la recourante peut se prévaloir d'une incapacité de travail ouvrant le droit à une demi-rente d'invalidité. a) L'assurée conteste tout d'abord la valeur probante du rapport du 17 novembre 2014 de la Dresse D.________, spécialiste FMH en rhumatologie, médecine physique et réadaptation, et médecin auprès du SMR (dossier OAI p. 132): les plaintes ne seraient pas répertoriées avec exactitude, le médecin du SMR n'aurait pas analysé les conséquences des mouvements faits lors de l'examen et des nouveaux diagnostics ont été posés. Elle estime également que, compte tenu de ses limitations fonctionnelles, elle ne peut travailler qu'à 50 %. Enfin, elle est d'avis que la nouvelle jurisprudence selon l'ATF 141 V 281 doit s'appliquer à l'examen de son dossier. La Dresse D.________ a examiné elle-même la recourante, s'est basée sur des examens complets et sur le dossier médical. Elle a pris en compte les plaintes exprimées, son appréciation est claire et ses conclusions sont motivées. Elle a également demandé au Dr E.________, spécialiste FMH en neurologie, d'examiner l'assurée. Il ressort du rapport de celui-ci du</w:t>
      </w:r>
    </w:p>
    <w:p>
      <w:r>
        <w:rPr>
          <w:b/>
        </w:rPr>
        <w:t>E. 7</w:t>
      </w:r>
    </w:p>
    <w:p>
      <w:r>
        <w:t>novembre 2014 (dossier OAI p. 120) un diagnostic de syndrome du tunnel carpien bilatéral, débutant, sans signe de lésion radiculaire ou plexuelle, pour lequel seul un traitement conservateur est nécessaire. Le rapport de la Dresse D.________ est dès lors probant. Elle pose comme diagnostic avec influence sur la capacité de travail, des cervico-brachialgies chroniques bilatérales à prédominance gauche dans le cadre de troubles dégénératifs (discopathies sévères C5-C6 et C6-C7 avec hernie discale C5-C6 droite et hernie discale C6-C7 gauche avec rétrécissement foraminal modéré à ces niveaux et possible irritation de la racine C6 et C7 à ces niveaux). Comme diagnostics sans influence, elle retient un status post-arthroscopie de l'épaule gauche avec résection de calcifications du tendon sus-épineux, suture du tendon sus-épineux, décompression sous-acromiale et résection acromio-claviculaire (30.01.12), un status post- arthroscopie, débridement SLAP, décompression sous-acromiale, résection de l'extrémité distale de la clavicule de l'épaule droite (8.06.07), un status post-épaule gelée gauche (2012), un syndrome du tunnel carpien débutant bilatéral (novembre 2014) et l'obésité. Elle relève que l'assurée s'est totalement remise des opérations aux épaules (récupération totale de la mobilité et disparition des douleurs). Quant aux plaintes algiques et paresthésiques, elles sont compatibles avec les lésions cervicales radiologiquement démontrées et le début d'un syndrome du tunnel carpien bilatéral. Les douleurs dorso-lombaires modérées sont quant à elles sans influence vu la paucité des plaintes et un status dorso-lombaire dans les limites de la norme. La Dresse D.________ estime que l'ancienne activité d'indexatrice n'est plus exigible en raison des positions statiques assises prolongées devant l'ordinateur. Une activité adaptée peut par contre être exigible à 80 % avec diminution de rendement de 5-10 % en raison de la nécessité de prendre de régulières courtes pauses. Les limitations fonctionnelles sont les suivantes: pas de position statique assise ou debout prolongée supérieure à 20-30 min, pas de position prolongée ou de mouvements itératifs contraignants pour la colonne cervicale en flexion – extension – rotation – inclinaison de la nuque, pas de port itératifs de charges supérieur à 5 kg, pas de travail les bras levés en hauteur, pas de travail avec des engins émettant des vibrations au niveau des membres</w:t>
      </w:r>
    </w:p>
    <w:p>
      <w:r>
        <w:t>Tribunal cantonal TC Page 7 de 9 supérieurs, changements de position fréquent possibles. La Dresse D.________ indique enfin que des mesures ergonomiques – poste de travail adapté en termes de hauteur de table et siège adaptable et mobile – sont souhaitables. Les rapports de la Dresse F.________, spécialiste FMH en anesthésiologie, du 18 juillet 2013 et du 18 septembre 2014 (dossier OAI p. 112 et 116), qui retient une capacité de travail d'au maximum 40 %, ne sont pas de nature à remettre en cause cette appréciation. On ignore en effet sur quels examens elle s'est basée et quelles sont ses constatations objectives, de sorte que les rapports ne sont pas complets. De plus, elle est la seule à estimer que les diagnostics de status après acromioplastie et suture tendineuse de l'épaule gauche en janvier 2012 et de status après chirurgie de l'épaule droite en 2007 auraient une influence sur la capacité de travail, au contraire de la Dresse D.________, du Dr G.________, spécialiste FMH en chirurgie orthopédique et traumatologie de l'appareil locomoteur (dossier OAI p. 65), et du Dr H.________, chiropracticien (dossier OAI p. 85). Ce dernier estime, dans son rapport du 5 août 2014 (dossier OAI p. 85), qu'il existe une cervico- brachialgie gauche invalidante sur hernies discales C5-C6 et C6-C7 à prédominance gauche et l'épaule gelée à gauche qui ont une influence sur la capacité de travail, au contraire des status après opérations des deux épaules. Il ne mentionne toutefois pas quels examens il a réalisé et n'atteste pas d'une quelconque incapacité de travail après le 18 juin 2014. Il ne contredit ainsi pas l'appréciation de la Dresse D.________. Le rapport du 22 juillet 2014 (dossier OAI p. 65) du Dr G.________ n'est pas non plus de nature à remettre en cause l'avis de la Dresse D.________. Au contraire, il pose les diagnostics de conflit sous-acromial à l'épaule droite, d'arthrose AC à l'épaule droite, de lésion SLAP type I à l'épaule droite et de calcifications du tendon supra-épineux à l'épaule gauche, tout en précisant que l'activité actuelle est exigible sans diminution de rendement, qu'il n'y a aucune limitation fonctionnelle et que le travail peut être repris à plein temps dès le 18 avril 2013. Son appréciation confirme ainsi clairement celle de la Dresse D.________ relative aux troubles de l'épaule. Un rapport du 15 janvier 2016 de la Dresse I.________, spécialiste FMH en médecine physique et réadaptation, rhumatologie et médecine interne générale, figure encore au dossier. Ce document a cependant été établi postérieurement à la décision attaquée et ne contient de surcroît aucun élément susceptible de remettre en cause ce qui précède, de sorte qu'il n'est pas relevant. En effet, le médecin s'exprime uniquement sur la situation au moment de son examen, et non au moment de la décision litigieuse. Il ne remet pas non plus en cause les diagnostics précédemment posés, ne fait que soupçonner un syndrome douloureux généralisé et ne prend pas position sur la capacité de travail. Quant aux nouveaux diagnostics de diabète et d'hypovitaminose, ainsi qu'à l'évolution des douleurs par poussée, il n'en est aucunement fait mention avant janvier 2016. Par ailleurs, la recourante se méprend lorsqu'elle allègue que la Dresse D.________ n'a pas tenu compte de l'importance de ses plaintes. Il ressort en effet du rapport de celle-ci (dossier OAI p. 123) que la paucité des plaintes ne concerne que les douleurs dorso-lombaires, et non les douleurs cervicales, lesquelles ont été reconnues compatibles avec les lésions constatées. Le reproche fait au médecin du SMR de ne pas avoir analysé les conséquences des mouvements faits lors de l'examen est également infondé. Aucun médecin n'a relevé que la recourante ne pourrait rien faire lorsque les douleurs sont présentes. Même la Dresse F.________ atteste au contraire qu'il n'y a pas de véritable impotence fonctionnelle (rapport du 18 septembre 2014, dossier OAI p. 116).</w:t>
      </w:r>
    </w:p>
    <w:p>
      <w:r>
        <w:t>Tribunal cantonal TC Page 8 de 9 A noter encore que l'ATF 141 V 281 concerne les expertises psychiatriques en matière de troubles somatoformes douloureux et autres troubles psychosomatiques comparables, dont la recourante ne souffre pas au moment de la décision litigieuse, aucun diagnostic à ce sujet n'ayant été posé. Il n'y a dès lors pas lieu de l'appliquer en l'espèce. Partant, il convient de retenir que l'activité d'indexatrice n'est plus exigible de sa part, tandis qu'une activité adaptée à 80% avec diminution de rendement de 5 à 10 % l'est, à condition de tenir compte des limitations fonctionnelles suivantes: nécessité de prendre de régulières courtes pauses, pas de position statique assise ou debout prolongée supérieure à 20-30 min, pas de position prolongée ou de mouvements itératifs contraignants pour la colonne cervicale en flexion – extension – rotation – inclinaison de la nuque, pas de port itératifs de charges supérieur à 5 kg, pas de travail les bras levés en hauteur, pas de travail avec des engins émettant des vibrations au niveau des membres supérieurs, changement de position fréquent possibles. Les reproches de la recourante sont dès lors mal fondés et il n'y a pas lieu de s'écarter du dossier médical. Dans de telles circonstances, on ne voit pas ce qu'une instruction complémentaire apporterait de plus, de sorte qu'une expertise pluridisciplinaire n'est pas nécessaire. b) La recourante conteste encore le revenu d'invalide. Elle s'étonne de ce qu'elle pourrait réaliser un salaire supérieur à son revenu précédent, alors qu'elle travaillait dans une entreprise importante censée payer mieux que la moyenne, et qu'il conviendrait de se référer à son ancien salaire. Il est cependant tout à fait possible que le revenu d'invalide soit supérieur au dernier salaire réalisé en cas de changement d'activités, compte tenu du fait que le salaire selon l'ESS est un salaire statistique déterminé sur la base de salaires moyens. Surtout, son ancien salaire ne saurait entrer en ligne de compte au titre de revenu d'invalide dès lors qu'elle ne le réalise plus depuis le son licenciement le 30 septembre 2013. Cela étant, même en prenant en compte l'ancien salaire, converti à un taux – généreux compte tenu de la fourchette fixée - de 70 % pour tenir compte de la capacité de travail retenue, le degré d'invalidité reste inférieur à 40 % (revenu de valide CHF 63'050.-, revenu d'invalide CHF 44'520.-, degré d'invalidité de 29,4 % après arrondi) et n'ouvre pas le droit à une rente. L'assurée estime enfin que personne ne l'engagera comme secrétaire compte tenu de ses limitations fonctionnelles. Toutefois, les mesures ergonomiques proposées par la Dresse D.________ peuvent facilement être mises en œuvre par un employeur et permettent de respecter les limitations fonctionnelles les plus pénibles dans les tâches de secrétariat. De plus, il est tenu compte du fait que des pauses régulières sont nécessaires par la réduction de rendement de</w:t>
      </w:r>
    </w:p>
    <w:p>
      <w:r>
        <w:rPr>
          <w:b/>
        </w:rPr>
        <w:t>E. 10</w:t>
      </w:r>
    </w:p>
    <w:p>
      <w:r>
        <w:t>%, que l'assurée n'a d'ailleurs pas contestée. Les reproches de la recourante sont dès lors infondés. 4. Au vu de ce qui précède, le recours est rejeté et la décision attaquée confirmée. La procédure n'étant pas gratuite, les frais de justice sont fixés à CHF 800.- et sont mis à la charge de la recourante qui succombe. Vu la décision d'octroi judiciaire du 15 janvier 2016 complétant celle du 30 septembre 2015, le paiement ne sera toutefois pas exigé de sa part. Agissant sous le couvert de l'assistance judiciaire totale, la recourante a droit à ce que son défenseur d'office soit indemnisé par l'Etat. Son mandataire a produit le 27 janvier 2017 sa liste de frais. Conformément aux art. 146 ss du code du 23 mai 1991 de procédure et de juridiction administrative (CPJA; RSF 150.1) et du tarif du</w:t>
      </w:r>
    </w:p>
    <w:p>
      <w:r>
        <w:t>Tribunal cantonal TC Page 9 de 9 17 décembre 1991 des frais de procédure et des indemnités en matière de juridiction administrative (Tarif/JA; RSF 150.12), il se justifie de fixer l'équitable indemnité à laquelle il a droit à CHF 2'360.85 à raison de 11h06 à CHF 180.-, soit à un montant de CHF 1'998.-, plus CHF 187.80 au titre de débours, plus CHF 175.05 au titre de la TVA à 8 %. Cette indemnité est mise dans son intégralité à la charge de l'Etat. la Cour arrête: I. Le recours est rejeté. II. Les frais de procédure, par CHF 800.-, sont mis à la charge de la recourante. Ils ne lui sont toutefois pas réclamés en raison de l'assistance judiciaire octroyée. III. L'indemnité allouée à son défenseur d'office est fixée à CHF 2'185.80, plus CHF 175.05 au titre de la TVA, soit à un total de CHF 2'360.85. Elle est intégralement mise à la charge de l'Etat.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février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