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107 vom 13. Juni 2016</w:t>
      </w:r>
    </w:p>
    <w:p>
      <w:r>
        <w:t>FR Kantonsgericht, 2016-06-13, FR</w:t>
      </w:r>
    </w:p>
    <w:p>
      <w:r>
        <w:rPr>
          <w:b/>
        </w:rPr>
        <w:t xml:space="preserve">Quelle: </w:t>
      </w:r>
      <w:r>
        <w:t>https://mcp.opencaselaw.ch/entscheid/fr_gerichte_608_2015_107</w:t>
      </w:r>
    </w:p>
    <w:p>
      <w:r>
        <w:t>FR: FR_GERICHTE 608 2015 107 du 13 juin 2016</w:t>
      </w:r>
    </w:p>
    <w:p>
      <w:r>
        <w:t>IT: FR_GERICHTE 608 2015 107 del 13 giugno 2016</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le recours est recevable.</w:t>
      </w:r>
    </w:p>
    <w:p>
      <w:r>
        <w:rPr>
          <w:b/>
        </w:rPr>
        <w:t>E. 2</w:t>
      </w:r>
    </w:p>
    <w:p>
      <w:r>
        <w:t>a)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à accomplir ses travaux habituels ne peut pas être rétablie, maintenue ou améliorée par des mesures de réadaptation raisonnablement exigibles, s'il a présenté une incapacité de travail (art. 6 LPGA) d'au moins 40 % en moyenne durant une année sans interruption notable et si au terme de cette année, il est invalide (art. 8 LPGA) à 40 % au moins. En vertu de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demi-rente; lorsqu’elle atteint 60 % au moins, l’assuré a droit à trois-quarts de rente et lorsque le taux d’invalidité est de 70 % au moins, il a droit à une rente entière.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peuvent encore, raisonnablement, être exigés de l'assuré (ATF 125 V 256 consid. 4; 115 V 133 consid. 2; 114 V 310 consid. 3c; 105 V 156 consid. 1). b)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w:t>
      </w:r>
    </w:p>
    <w:p>
      <w:r>
        <w:t>Tribunal cantonal TC Page 4 de 7 physique, mentale ou psychique qui a valeur de maladie.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(arrêt TF 9C_618/2014 du 9 janvier 2015 consid. 5). c)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 TF 9C_46/2009 du 14 août 2009 consid. 3.1 in SVR 2010 IV n° 4 p. 7; 9C_910/2010 du 7 juillet 2011 consid. 3.2 a contrario). d)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w:t>
      </w:r>
    </w:p>
    <w:p>
      <w:r>
        <w:t>Tribunal cantonal TC Page 5 de 7 de la situation médicale soient claires et enfin que les conclusions de l'expert soient bien motivées (RAMA U 133 1991 p. 311; VSI 1997 p. 121). En principe, n'est donc décisif, pour la valeur probatoire, ni l'origine, ni la désignation d'un moyen de preuve, mais bien son contenu (ATF 122 V 157 et les références citées).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RCC 1988 p. 504 consid. 2). L'on ne saurait remettre en cause une expertise ordonnée par l'administration ou un juge et procéder à de nouvelles investigations du seul fait qu'un ou plusieurs médecins traitants ont une opinion contradictoire (arrêt TF 9C_201/2007 du 29 janvier 2008). Enfin,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w:t>
      </w:r>
    </w:p>
    <w:p>
      <w:r>
        <w:rPr>
          <w:b/>
        </w:rPr>
        <w:t>E. 3</w:t>
      </w:r>
    </w:p>
    <w:p>
      <w:r>
        <w:t>Le litige porte sur le droit du recourant à une rente entière au lieu d'une demi-rente. Partant, il sied de vérifier si son état de santé s'est ou non modifié depuis la dernière décision entrée en force au point de devoir entraîner une augmentation de sa perte de gain. a) Lorsque la dernière décision du 23 mai 2011 est entrée en force, le recourant souffrait d'une gonarthrose externe gauche, avec les limitations fonctionnelles suivantes: périmètre de marche limité à 20 minutes sans canne, travail essentiellement assis, sans longs déplacements, sans travaux lourds et sans port de charges au-delà de 10 kg, et, sur le plan psychique, d'une dysthymie. Son genou droit était normal. Les médecins ont également indiqué que le recourant avait avoué des abus antérieurs d'alcool et qu'il avait réduit de lui-même sa consommation. Ils ont cependant attesté que seule la gonarthrose avait une influence sur la capacité de travail, fixée à 100 % dans une activité adaptée respectant les limitations fonctionnelles (expertise bidisciplinaire orthopédique et psychiatrique du 4 avril 2011, dossier OAI p. 262 et 277). L'autorité intimée a toutefois retenu une capacité de travail identique à celle de sa précédente décision, soit une capacité de 50 % dans une activité adaptée (dossier OAI p. 289). b) Par la suite, le recourant se plaint toujours de douleurs aux genoux. Après que l'état de son genou gauche se soit péjoré, il subit une arthroscopie (Dr C.________, spécialiste FMH en chirurgie orthopédique et traumatologie de l'appareil locomoteur, rapport du 4 juillet 2012, dossier OAI p. 344), puis une prothèse totale a été posée le 5 avril 2013 (Dr C.________, rapport du 13 juin 2013, dossier OAI p. 354). Le 15 mai 2014, le Dr D.________, spécialiste en médecine générale et médecin généraliste traitant du recourant, diagnostique une hypertension artérielle, une hypercholestérolémie, un syndrome dépressif, la pose d'une prothèse de genou gauche et une gonarthrose droite. Il atteste que l'assuré ne peut pas porter des charges, ne pas travailler en hauteur ni exercer un travail irrégulier, et retient qu'une activité adaptée d'au plus 50 % est exigible. Il précise encore qu'il y a eu peu d'évolution de la thymie et des capacités de déambulation (dossier OAI p. 378). Le 18 novembre 2014, ce médecin indique que, depuis son</w:t>
      </w:r>
    </w:p>
    <w:p>
      <w:r>
        <w:t>Tribunal cantonal TC Page 6 de 7 dernier rapport du 15 mai 2014, il n'y a pas eu d'amélioration sur le plan articulaire et qu'il y aura probablement une péjoration sur le genou contro-latéral. Sur le plan psychiatrique, il relève par contre une nette aggravation avec un syndrome dépressif profond mélancolique avec consommation d'alcool à risque et précise qu'un suivi psychiatrique avec sevrage a été mis en place avec le Dr E.________, spécialiste FMH en psychiatrie et psychothérapie. Il est donc d'avis que le recourant est incapable de travailler, tout du moins sur le marché libre (dossier OAI p. 389). c) L'autorité intimée s'est fondée sur le rapport du 11 février 2015 du Dr F.________, spécialiste FMH en médecine interne générale et médecin du service médical régional, pour retenir que l'état de santé du recourant ne s'est pas modifié depuis le 23 mai 2011. Ce médecin relève que l'expertise psychiatrique du 4 avril 2011 est probante, que le Dr D.________ n'est pas psychiatre et qu'il s'est basé sur les éléments subjectifs mis en avant par son patient, de sorte que l'aggravation psychique n'est étayée par aucune argumentation probante. Il indique encore que si une aggravation psychique devait persister après le sevrage d'alcool, la situation devrait être reconsidérée (dossier OAI p. 391). Il convient toutefois de constater que le rapport du Dr F.________ n'est pas probant. En effet, il se prononce uniquement sur les troubles psychiatriques dont souffre le recourant, sans s'exprimer sur les troubles physiques. Il se contredit ensuite en niant l'existence d'une aggravation psychique (qui n'est étayée par aucune argumentation probante) tout en admettant qu'elle pourrait persister après le sevrage. Par ailleurs, si l'expertise bidisciplinaire de 2011 était probante, l'état de santé du recourant a évolué tant sur le plan physique que sur le plan psychiatrique. Tout d'abord, une prothèse totale a été posée au genou gauche et le recourant souffre à nouveau d'une gonarthrose au genou droit. Ces nouveaux diagnostics ne détériorent cependant pas la capacité de travail du recourant. Le médecin traitant indique en effet que les capacités de déambulations ont peu évolué (rapport du 15 mai 2014), puis qu'il n'y a pas eu d'amélioration depuis mai 2014 et qu'une aggravation sera probable (rapport du 18 novembre 2014), de sorte que l'on peut admettre que les troubles physiques n'ont pas ou que peu évolué. La probabilité qu'une aggravation se produise ne suffit en effet pas pour la retenir puisqu'encore non existante. Du point de vue psychiatrique, aucun trouble psychique, notamment en lien avec l'alcoolisme, n'avait été retenu dans l'expertise de 2011, si ce n'est une dysthymie qui n'avait aucune influence sur la capacité de travail. Le Dr D.________ a ensuite diagnostiqué un syndrome dépressif (rapport du 15 mai 2014), puis un syndrome dépressif profond mélancolique avec consommation d'alcool à risque (rapport du 18 novembre 2014). S'il n'est certes pas psychiatre, il indique que le recourant est suivi par un médecin de cette spécialité, le Dr E.________. Le Dr F.________ n'étant pas non plus spécialisé en psychiatrie et aucun rapport psychiatrique ne figurant au dossier, il appartenait dès lors à l'OAI de faire préciser par un psychiatre quels sont les diagnostics psychiques à retenir, leur éventuel lien avec la consommation excessive d'alcool ainsi que leur influence sur la capacité de travail. Faute de disposer d'éléments médicaux sur la question du volet psychiatrique, la Cour de céans se voit par conséquent contrainte de conclure que la cause est insuffisamment instruite. Elle doit dès lors être retournée à l'OAI, à charge pour ce dernier de se renseigner et d'examiner le pan psychiatrique, en particulier l'existence de troubles psychiques et l'éventuel lien entre ceux-ci et la consommation d'alcool. Cet aspect est en effet un élément essentiel qui entre dans les cas de figure expressément prévus par la jurisprudence fédérale précitée permettant le renvoi.</w:t>
      </w:r>
    </w:p>
    <w:p>
      <w:r>
        <w:t>Tribunal cantonal TC Page 7 de 7</w:t>
      </w:r>
    </w:p>
    <w:p>
      <w:r>
        <w:rPr>
          <w:b/>
        </w:rPr>
        <w:t>E. 4</w:t>
      </w:r>
    </w:p>
    <w:p>
      <w:r>
        <w:t>Partant, sur le vu de ce qui précède, le recours doit être admis, la décision attaquée annulée et la cause renvoyée à l'autorité intimée pour instruction complémentaire dans le sens des considérants et nouvelle décision. Les frais de justice, fixés à CHF 800.-, sont mis à la charge de l'autorité intimée qui succombe. Le recourant ayant obtenu gain de cause, la requête d'assistance judiciaire déposée le 8 juin 2015 devient sans objet et doit être rayée du rôle. la Cour arrête: I. Le recours est admis et la décision attaquée annulée. Partant, la cause est renvoyée à l'autorité intimée pour instruction complémentaire au sens des considérants et nouvelle décision. II. Les frais de justice, fixés à CHF 800.-, sont mis à la charge de l'autorité intimée. III. La requête d'assistance judiciaire du 8 juin 2015 est rayée du rôle.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juin 2016/cso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