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96 vom 18. August 2016</w:t>
      </w:r>
    </w:p>
    <w:p>
      <w:r>
        <w:t>FR Kantonsgericht, 2016-08-18, DE</w:t>
      </w:r>
    </w:p>
    <w:p>
      <w:r>
        <w:rPr>
          <w:b/>
        </w:rPr>
        <w:t xml:space="preserve">Quelle: </w:t>
      </w:r>
      <w:r>
        <w:t>https://mcp.opencaselaw.ch/entscheid/fr_gerichte_608_2014_96</w:t>
      </w:r>
    </w:p>
    <w:p>
      <w:r>
        <w:t>FR: FR_GERICHTE 608 2014 96 du 18 août 2016</w:t>
      </w:r>
    </w:p>
    <w:p>
      <w:r>
        <w:t>IT: FR_GERICHTE 608 2014 96 del 18 agosto 2016</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3. Juni 2014 gegen die Verfügung vom 5. Mai 2014 ist durch einen ordentlich bevollmächtigten Rechtsvertreter frist- und formgerecht bei der sachlich und örtlich zuständigen Beschwerdeinstanz eingereicht worden. Die Beschwerdeführerin hat ein schutzwürdiges Interesse daran, dass das Kantonsgericht, II. Sozialversicherungsgerichtshof, prüft, ob sie Anspruch auf eine Invalidenrente hat. Auf die Beschwerde ist einzutreten.</w:t>
      </w:r>
    </w:p>
    <w:p>
      <w:r>
        <w:rPr>
          <w:b/>
        </w:rPr>
        <w:t>E. 2</w:t>
      </w:r>
    </w:p>
    <w:p>
      <w:r>
        <w:t>Da der Fall der Beschwerdeführerin bereits einmal vom Kantonsgericht beurteilt wurde, welches die Beschwerde mit Urteil vom 22. März 2012 (605 2010 366) gutgeheissen, die angefochtene Verfügung aufgehoben und die Angelegenheit an die Vorinstanz zurückgewiesen hat, damit sie nach weiteren Sachverhaltsabklärungen über den Leistungsanspruch neu verfüge, stellt sich vorfrageweise die Frage der Bindungswirkung. a) Heisst die Beschwerdeinstanz eine Beschwerde gut und hebt sie den angefochtenen Entscheid ganz oder teilweise auf, so entscheidet sie selbst in der Sache oder weist diese – nötigenfalls mit verbindlichen Weisungen – an die Vorinstanz zurück (Art. 98 des Kantonalen Gesetzes vom 23. Mai 1991 über die Verwaltungsrechtspflege [VRG; SGF 150.1]). Dabei hat die Gerichtsinstanz im Rückweisungsentscheid festzulegen, welche weiteren Schritte die Behörde, an welche die Rückweisung erfolgt, zu unternehmen hat. Diese ist an den Entscheid und die darin enthaltene Weisung gebunden; die Bindungswirkung erstreckt sich sodann auf die Erwägungen des Entscheids, sofern dieser darauf Bezug nimmt (vgl. BGE 117 V 237 E. 2a; 120 V 233 E. 1a; Urteil des ehemaligen Eidgenössischen Versicherungsgerichts K 137/06 vom 7. Februar 2007 E. 2.2). Dies gilt namentlich, wenn eine Verwaltungsbehörde im verwaltungsinternen Verfahren als Entscheidbehörde aufgetreten und im nachfolgenden Rechtsmittelverfahren Partei geworden ist (Urteile BGer 9C_1027/2012 vom 30. April 2013 E. 4.1 mit weiteren Hinweisen und 8C_3/2013 vom 24. Juli 2013 E. 3.5). Die Verwaltungsbehörde darf die Anweisungen des Gerichts nur unbeachtet lassen, wenn das Ziel der verlangten Instruktion auch auf andere Weise erreicht werden kann (in diesem Sinne Urteil BGer 9C_522/2010 E. 3.3.1). Setzt sich die Rückweisungsinstanz über die verbindlichen Erwägungen des Rückweisungsentscheides hinweg,</w:t>
      </w:r>
    </w:p>
    <w:p>
      <w:r>
        <w:t>Kantonsgericht KG Seite 5 von 18 liegt Rechtsverweigerung vor, was ohne weiteres zur Aufhebung des zweiten Entscheides führt (Urteil BGer 9C_768/2013 vom 12. Mai 2014 E. 1.2). Gelegentlich fällt die Abgrenzung des Bindungsbereichs schwer; zu beachten ist dabei, dass ein insgesamt angefochtener Entscheid, welcher in der Folge aufgehoben und an die Vorinstanz zurückgewiesen wurde, bezüglich derjenigen Teile, auf welche sich die Rück-weisung nicht bezieht, nicht als materiell rechtskräftig betrachtet werden darf (KIESER, ATSG-Kommentar, 3. Auflage, 2015, Art. 61 N. 105). Wird gegen den nach einer Rückweisung ergangenen Entscheid wiederum ein Rechtsmittel ergriffen, ist auch diejenige Behörde, welche die Rückweisung vorgenommen hat, an die Erwägungen im Rückweisungsentscheid gebunden (GADOLA, Das verwaltungsinterne Beschwerdeverfahren, 1991, S. 305 mit zahlreichen weiteren Hinweisen). Dies kann allerdings zu unbefriedigenden Ergebnissen führen, wenn in der Zwischenzeit bezüglich der Frage, welche der Rückweisung zu-grunde lag, eine Praxisänderung vorgenommen wurde (KIESER, a.a.O., Art. 61 N. 106). Die materielle Rechtskraft eines gerichtlichen Entscheides erstreckt sich auf das, was Streitgegenstand des Verfahrens gebildet hat und materiell gewürdigt und entschieden worden ist. Inwieweit ein (erster) Rückweisungsentscheid die Verwaltungsbehörde – und im Falle einer erneuten Anfechtung auch die kantonale Rechtsmittelinstanz – bindet, ergibt sich aus dem Urteilsdispositiv (BGE 121 III 474 E. 4a) und den erklärenden Erwägungen. Folglich sind auch die Motive, auf welche sich das Dispositiv seinem rechtlichen Gehalt nach abstützt, für die Behörde, an welche die Sache zurückgeht, verbindlich (Urteile BGer 9C_472/2013 vom 2. Dezember 2013 E. 4.3 und 9C_350/2011 vom 3. Januar 2012 E. 4.1). Solange über den Streitgegenstand als solchen nicht formell rechtskräftig entschieden worden ist, verbietet sich aber grundsätzlich die Annahme, einzelne Elemente der streitigen Sache seien bereits formell und materiell rechtskräftig erledigt (Urteil BGer 9C_1027/2012 vom 30. April 2013 E. 3 mit zahlreichen weiteren Hinweisen auf Literatur und Rechtsprechung). Aus dem Gesagten folgt, dass die Erwägungen im Urteil des Kantonsgerichts vom 22. März 2012 (605 2010 366), da dieses unangefochten geblieben ist, grundsätzlich sowohl für die Vorinstanz wie auch, im Falle der erneuten Beschwerdeführung, für das Kantonsgericht verbindlich sind. Davon zu unterscheiden ist jedoch die materielle Rechtskraft. Deren Annahme verbietet sich, sofern, soweit und solange über das strittige Rechtsverhältnis – den Rentenanspruch der Beschwerdeführerin – nicht insgesamt abschliessend entschieden wurde. b) Mit Urteil vom 22. März 2012 (605 2010 366) hat das Kantonsgericht die Angelegenheit an die Vorinstanz zurückgewiesen, damit sie nach erfolgter Abklärung im Sinne der Erwägungen über den Leistungsanspruch neu verfüge. Die Erwägungen, auf welche das Dispositiv verweist und welche im Rahmen der Beurteilung sowohl für die Vorinstanz wie auch für das Kantonsgericht verbindlich sind, betreffen die – gemäss erwähntem Urteil aufgrund damaliger Aktenlage vollständig ungeklärte – Frage, ob eine Algodystrophie vorliege (Vorakten S. 395, 394). In den medizinischen Vorakten würden sich nämlich durchaus verschiedene Anhaltspunkte für das von Dr. med. E.________, Facharzt für Anästhesiologie FMH, vermutete CRPS I finden (Vorakten S. 397 f.), weshalb dieses als mögliche Erklärung für die klinisch-somatischen Befunde nicht mit überwiegender Wahrscheinlichkeit ausgeschlossen werden könne. Weitere Abklärungen – unter Beizug eines auf CRPS I spezialisierten Facharztes – seien unumgänglich (Vorakten S. 395). Sollte ein CRPS I nicht objektiviert werden können, stelle sich auch die Frage nach einer somatoformen Schmerzstörung resp. deren Überwindbarkeit neu (Vorakten S. 395).</w:t>
      </w:r>
    </w:p>
    <w:p>
      <w:r>
        <w:t>Kantonsgericht KG Seite 6 von 18 In der Folge gab die Vorinstanz eine weitere interdisziplinäre Begutachtung in Auftrag, welche nach dem Zufallsprinzip (Art. 72bis Abs. 2 der Verordnung vom 17. Januar 1961 über die Invalidenversicherung (IVV; SR 831.201) an die D.________ vergeben wurde. Am 4. und 5. September 2012 wurde die Beschwerdeführerin von den Dres. med. F.________, Facharzt für Allgemein- und Arbeitsmedizin, G.________, Fachärztin für Psychiatrie und Psychotherapie FMH, H.________, Facharzt für Rheumatologie und Allgemeine Innere Medizin FMH, und I.________, Facharzt für Neurologie FMH, untersucht. c) Im Rahmen des vorliegenden Beschwerdeverfahrens beanstandet die Beschwerdeführerin, dass bei der Begutachtung durch die D.________ kein auf CRPS spezialisierter Facharzt beigezogen wurde. aa) Beim komplexen regionalen Schmerzsyndrom (CRPS; ICD-10: M89.0) handelt es sich um eine zusammenfassende Bezeichnung für Krankheitsbilder, welche die Extremitäten betreffen, sich nach einem schädigenden Ereignis entwickeln und durch anhaltenden Schmerz mit Störungen des vegetativen Nervensystems, der Sensibilität und der Motorik gekennzeichnet sind. Das CRPS I (sympathische Algodystrophie, Sudeck-Syndrom; früher sympathische Reflexdystrophie [SRD]) ist eine Erkrankung der Extremität, die ohne definierte Nervenläsion nach relativ geringfügigem Trauma ohne Bezug zum Innervationsgebiet eines Nervs auftritt. Es kommt am häufigsten nach distaler Radiusfraktur bei wiederholten Repositionsmanövern, einengenden Gipsverbänden oder ohne nachvollziehbare Ursache vor. Das CRPS II (früher Kausalgie) bezeichnet brennende Schmerzen und Störungen des sympathetischen Nervensystems als Folge einer definierten peripheren Nervenläsion (häufig Hyperkompression). Klinische Zeichen bzw. Symptome des CRPS sind schwer lokalisierbare brennende Schmerzen (z.B. Allodynie, Hyperalgesie) zusammen mit autonomen (Ödeme, Temperatur- und Schweisssekretionsstörung, eventuell trophische Störung der Haut, Nagelveränderungen, lokal vermehrtes Haarwachstum), sensiblen und motorischen Störungen. Im weiteren Verlauf kann es zu Knochenabbau (Demineralisation), Ankylose und Funktionsverlust kommen (Pschyrembel, Klinisches Wörterbuch, 265. Auflage, 2014, S. 1913). Das CRPS gehört zu den neurologisch-orthopädisch- traumatologischen Erkrankungen und stellt mithin einen organischen bzw. körperlichen Gesundheitsschaden dar (Urteil BGer 8C_955/2008 vom 29. April 2009 E. 6 mit weiteren Hinweisen, bestätigt in Urteil BGer 8C_673/2009 vom 22. März 2010 E. 5.1). bb) Im Rahmen der Begutachtung durch die D.________ wurde die Beschwerdeführerin von einem Rheumatologen und einem Neurologen untersucht. Da sich sowohl die Orthopädie als auch die Rheumatologie mit dem Bewegungsapparat, seinen speziellen Erkrankungen und dessen funktionellen Abläufen beschäftigen und die beiden medizinischen Disziplinen nicht etwa für unterschiedliche Konzepte stehen, wie ein Gesundheitsschaden und dessen Folgen zu betrachten seien, sondern sich vielmehr – im Sinne einer praktischen Aufgabenteilung – für die Einschätzung der funktionellen Auswirkungen von Beeinträchtigungen des Bewegungsapparates der Beizug der Rheumatologie durchzusetzen scheint, während die Orthopädie eher im Zusammenhang mit (hier nicht interessierenden) Fragen der Therapie zuständig ist (vgl. Urteil BGer 9C_134/2011 vom</w:t>
      </w:r>
    </w:p>
    <w:p>
      <w:r>
        <w:rPr>
          <w:b/>
        </w:rPr>
        <w:t>E. 6</w:t>
      </w:r>
    </w:p>
    <w:p>
      <w:r>
        <w:t>Zusammenfassend hat die Vorinstanz zu Recht aufgrund eines Invaliditätsgrades von unter 40 Prozent einen Anspruch der Beschwerdeführerin auf eine Invalidenrente verneint. Die Beschwerde ist demzufolge abzuweisen und die Verfügung der Vorinstanz vom 5. Mai 2014 zu bestätigen.</w:t>
      </w:r>
    </w:p>
    <w:p>
      <w:r>
        <w:rPr>
          <w:b/>
        </w:rPr>
        <w:t>E. 7</w:t>
      </w:r>
    </w:p>
    <w:p>
      <w:r>
        <w:t>Die Gerichtskosten zu Lasten der unterliegenden Beschwerdeführerin werden auf CHF 800.- festgesetzt und sind mit dem von ihr geleisteten Kostenvorschuss in der gleichen Höhe zu verrechnen. Die mit ihren Anträgen unterliegende Beschwerdeführerin hat keinen Anspruch auf Parteientschädigung. Der Hof erkennt: I. Die Beschwerde wird abgewiesen. II. Es werden Gerichtskosten in der Höhe von CHF 800.- zu Lasten von A.________ erhoben und mit dem von ihr geleisteten Kostenvorschuss in der gleichen Höhe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18. August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