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75 vom 17. November 2014</w:t>
      </w:r>
    </w:p>
    <w:p>
      <w:r>
        <w:t>FR Kantonsgericht, 2014-11-17, DE</w:t>
      </w:r>
    </w:p>
    <w:p>
      <w:r>
        <w:rPr>
          <w:b/>
        </w:rPr>
        <w:t xml:space="preserve">Quelle: </w:t>
      </w:r>
      <w:r>
        <w:t>https://mcp.opencaselaw.ch/entscheid/fr_gerichte_608_2014_75</w:t>
      </w:r>
    </w:p>
    <w:p>
      <w:r>
        <w:t>FR: FR_GERICHTE 608 2014 75 du 17 novembre 2014</w:t>
      </w:r>
    </w:p>
    <w:p>
      <w:r>
        <w:t>IT: FR_GERICHTE 608 2014 75 del 17 novembre 2014</w:t>
      </w:r>
    </w:p>
    <w:p>
      <w:pPr>
        <w:pStyle w:val="Heading2"/>
      </w:pPr>
      <w:r>
        <w:t>Regeste</w:t>
      </w:r>
    </w:p>
    <w:p>
      <w:r>
        <w:t>Entscheid des II. Sozialversicherungsgerichtshofes des Kantonsgerichts | Krankenversicherung</w:t>
      </w:r>
    </w:p>
    <w:p>
      <w:pPr>
        <w:pStyle w:val="Heading2"/>
      </w:pPr>
      <w:r>
        <w:t>Erwägungen</w:t>
      </w:r>
    </w:p>
    <w:p>
      <w:r>
        <w:rPr>
          <w:b/>
        </w:rPr>
        <w:t>E. 1</w:t>
      </w:r>
    </w:p>
    <w:p>
      <w:r>
        <w:t>Einspracheentscheide der Kantonalen Ausgleichskasse betreffend Prämienverbilligung im Bereich der Krankenversicherung können mit Beschwerde beim Kantonsgericht angefochten werden (Art. 1 Abs. 2 lit. c des Bundesgesetzes vom 18. März 1994 über die Krankenversicherung [KVG; SR 832.10] i.V.m. Art. 24 Abs. 2 des Ausführungsgesetzes vom 24. November 1995 zum Bundesgesetz über die Krankenversicherung [KVGG; SGF 842.1.1]). Zuständig ist der zweite Sozialversicherungsgerichtshof (Art. 28 lit. d des Reglements für das Kantonsgericht vom 22. November 2012 betreffend seine Organisation und seine Arbeitsweise [RKG; SGF 131.11]).</w:t>
      </w:r>
    </w:p>
    <w:p>
      <w:r>
        <w:t>Kantonsgericht KG Seite 3 von 6 Die Beschwerde vom 15. April 2014 ist innert der gesetzlichen Frist von 30 Tagen form- und fristgerecht der Schweizerischen Post zu Handen der sachlich und örtlich zuständigen Beschwerdeinstanz übergeben worden. Als Verfügungsadressatin und Prämienschuldnerin hat die Beschwerdeführerin zweifellos ein schützenswertes Beschwerdeinteresse. Auf die Beschwerde ist einzutreten.</w:t>
      </w:r>
    </w:p>
    <w:p>
      <w:r>
        <w:rPr>
          <w:b/>
        </w:rPr>
        <w:t>E. 2</w:t>
      </w:r>
    </w:p>
    <w:p>
      <w:r>
        <w:t>a) Gemäss Art. 65 KVG gewähren die Kantone den Versicherten in bescheidenen wirtschaftlichen Verhältnissen Prämienverbilligungen (Abs. 1). Sie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(BGE 136 I 220, E. 4.1; 134 I 313, E.</w:t>
      </w:r>
    </w:p>
    <w:p>
      <w:r>
        <w:rPr>
          <w:b/>
        </w:rPr>
        <w:t>E. 3</w:t>
      </w:r>
    </w:p>
    <w:p>
      <w:r>
        <w:t>Vorliegend ist streitig, ob die Ausbildungszulagen der Monate August 2011 bis Dezember 2011, welche der Beschwerdeführerin erst nachträglich, im Februar 2012, ausbezahlt wurden und welche die Beschwerdeführerin Folge dessen auch erst im Jahr 2012 versteuerte, bei den anrechenbaren Einnahmen zu berücksichtigen sind. a) Gemäss Art. 14 Abs. 1 KVGG wird das anrechenbare Einkommen aufgrund der Kriterien berechnet, die sich aus der Veranlagung der letzten Steuerperiode ergeben. Eine Abweichung von den Steuerkriterien, wie sie früher bei offensichtlich ungerechten oder stossenden Ergebnissen möglich war (aArt. 16 Abs. 2 KVGG in der bis 31. Dezember 2011 gültigen Fassung), ist im geltenden Recht so nicht mehr vorgesehen; auch die Verordnung des Staatsrates über die Verbilligung der Krankenkassenprämien lässt keine Abweichungen von den in der Steuerveranlagung berücksichtigten Elementen zu. Selbst wenn die Steuerveranlagung nicht immer die reale wirtschaftliche Lage der betroffenen Person widerspiegelt, ist dieser Schematismus im Bereich der Prämienverbilligung aus Praktikabilitätsgründen nicht zu beanstanden, wäre doch die genaue Berücksichtigung aller Einzelsituationen mit einem unverhältnismässigen, administrativen Aufwand verbunden (vgl. dazu BGE 122 I 343, E. 3g/dd; Urteile 8C_612/2013 vom 30. Dezember 2013, E. 6.4, 8C_1074/2009 vom 2. Dezember 2010, E. 4.3.6, und 2P.79/1998 vom 10. Mai 1999, E. 3d f.). Es ist dem Gesetzgeber erlaubt, in gewissen Teilbereichen auf differenzierte Einzelregelungen zu verzichten und stattdessen schematische, aber einfacher und wirksamer anwendbare Vorschriften zu erlassen. Ein solcher Schematismus führt wohl zwischen den Prämienverbilligungsbezügern zu gewissen Ungleichbehandlungen, welche aber durchaus in einem verfassungs- und gesetzeskonformen Rahmen bleiben. Das schematisierte Verfahren ermöglicht zudem eine einfache und speditive Abwicklung der zahlreichen Gesuche, was wiederum ermöglicht, den Anforderungen von Art. 65 Abs. 3 KVG zu entsprechen, welcher will, dass die Kantone ein Verfahren kennen, welches verhindert, dass die Versicherten die Prämien bevorschussen müssen (Urteil des Bundesgerichtes K/20/03 vom 16. Mai 2003, E. 3). Über das Ganze gesehen resultiert eine generelle Gleichbehandlung der versicherten Personen, wäre doch die Berücksichtigung jeder individuellen Situation in der Praxis nicht realistisch. In aller Regel sind also die Einkommens- und Vermögensverhältnisse zu berücksichtigen, die der rechtskräftigen Steuerveranlagung des vorletzten Jahres entsprechen. Unter gewissen Umständen kann es jedoch – auf begründetes Gesuch der betroffenen Person hin – gerechtfertigt sein, dass ausnahmsweise auf die Steuerveranlagung des unmittelbaren Vorjahres abgestützt wird. Vorausgesetzt wird jedoch, dass die betroffene Person in den zwei vorangehenden Jahren keine Prämienverbilligung erhalten hat und die finanzielle Situation aus dem Jahr, das der Prüfung des Anspruchs vorangeht, mindestens 30 Prozent vom anrechenbaren Einkommen im Sinne von Absatz 1 abweicht (Art. 5 Abs. 7 VKP). Diese Voraussetzungen sind vorliegend aber klarerweise nicht erfüllt. Das Kantonsgericht hat im Übrigen festgestellt, dass diese Verordnungsbestimmung, welche den Möglichkeiten, auf aktualisierte Einkommensverhältnisse abzustellen, enge Grenzen setzt, verfassungs- und gesetzeskonform ist (Urteil des Kantonsgerichtes 608 2013 5 vom 22. September 2014). Im Übrigen zeigt gerade der vorliegende Fall, dass das Abweichen von den in der Steuerveranlagung festgehaltenen Elementen nicht praktikabel ist. Es wäre nämlich vorliegend nicht nur die Prämienverbilligung für das Jahr 2014 zu korrigieren, es müsste auch der Anspruch für das Jahr 2013, welcher rechtskräftig gestützt auf die Steuerperiode 2011 entschieden worden ist, überprüft werden können, würden doch ansonsten die vom Jahr 2012 ins Jahr 2011 verschobenen Einkommenselemente unberücksichtigt bleiben. Hinzu kommt, dass die Nachzahlung der Familienzulagen effektiv im Jahr 2012 erfolgte und die Beschwerdeführerin in diesem Jahr über diesen Betrag auch tatsächlich verfügen konnte.</w:t>
      </w:r>
    </w:p>
    <w:p>
      <w:r>
        <w:t>Kantonsgericht KG Seite 5 von 6 b) Der Anspruch der Beschwerdeführerin auf Prämienverbilligung für das Jahr 2014 ist damit auf Grundlage der Steuerveranlagung des Jahres 2012 zu prüfen. In Anwendung von Art. 5 Abs. 1 lit. a VKP berechnet sich das anrechenbare Einkommen wie folgt: Nettojahreseinkommen (Code 4.910): 53‘392 Franken Versicherungsprämien und -beiträge (Codes 4.110–4.140): + 8‘200 Franken – 2‘832 Franken Anrechenbares Einkommen: 58‘760 Franken Die Beschwerdeführerin ist alleinerziehende Mutter; sie hat eine unterhaltsberechtigte Tochter. Die Einkommensgrenze liegt bei 57‘400 Franken (45’900 Franken zuzüglich 11‘500 Franken). Damit liegt das anrechenbare Einkommen über der Einkommensgrenze, weshalb für das Jahr 2014 kein Anspruch auf Prämienverbilligung besteht.</w:t>
      </w:r>
    </w:p>
    <w:p>
      <w:r>
        <w:rPr>
          <w:b/>
        </w:rPr>
        <w:t>E. 4</w:t>
      </w:r>
    </w:p>
    <w:p>
      <w:r>
        <w:t>Der angefochtene Einspracheentscheid der Kantonalen Ausgleichskasse ist nicht zu beanstanden. Die vorliegende Beschwerde ist deshalb abzuweisen und der Einspracheentscheid vom 19. März 2014 zu bestätigen.</w:t>
      </w:r>
    </w:p>
    <w:p>
      <w:r>
        <w:rPr>
          <w:b/>
        </w:rPr>
        <w:t>E. 5</w:t>
      </w:r>
    </w:p>
    <w:p>
      <w:r>
        <w:t>Aufgrund des hier zur Anwendung kommenden Grundsatzes der Kostenlosigkeit des Verfahrens sind keine Gerichtskosten zu erheben. Der bundesrechtliche Grundsatz der Kostenfreiheit befreit auch von der Pflicht zur Zahlung einer Parteientschädigung an den obsiegenden Versicherungsträger (UELI KIESER, ATSG-Kommentar, 2. Auflage, Zürich/Basel/Genf 2009, Art. 61 N. 33). Da die Beschwerdeführerin mit ihren Anträgen nicht durchgedrungen ist, hat sie keinen Anspruch auf Parteientschädigung. Der Hof erkennt: I. Die Beschwerde wird abgewiesen. II. Es werden keine Gerichtkosten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November 2014/dki</w:t>
      </w:r>
    </w:p>
    <w:p>
      <w:r>
        <w:t>Kantonsgericht KG Seite 6 von 6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