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54 vom 5. September 2016</w:t>
      </w:r>
    </w:p>
    <w:p>
      <w:r>
        <w:t>FR Kantonsgericht, 2016-09-05, FR</w:t>
      </w:r>
    </w:p>
    <w:p>
      <w:r>
        <w:rPr>
          <w:b/>
        </w:rPr>
        <w:t xml:space="preserve">Quelle: </w:t>
      </w:r>
      <w:r>
        <w:t>https://mcp.opencaselaw.ch/entscheid/fr_gerichte_608_2014_54</w:t>
      </w:r>
    </w:p>
    <w:p>
      <w:r>
        <w:t>FR: FR_GERICHTE 608 2014 54 du 5 septembre 2016</w:t>
      </w:r>
    </w:p>
    <w:p>
      <w:r>
        <w:t>IT: FR_GERICHTE 608 2014 54 del 5 settembre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w:t>
      </w:r>
    </w:p>
    <w:p>
      <w:r>
        <w:rPr>
          <w:b/>
        </w:rPr>
        <w:t>E. 6</w:t>
      </w:r>
    </w:p>
    <w:p>
      <w:r>
        <w:t>LPGA) d'au moins 40 %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d)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w:t>
      </w:r>
    </w:p>
    <w:p>
      <w:r>
        <w:t>Tribunal cantonal TC Page 4 de 6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 L’invalidité des assurés qui n’exercent pas d’activité lucrative et dont on ne peut raisonnablement exiger qu’ils en entreprennent une est évaluée, en dérogation à l’art. 16 LPGA, en fonction de l’incapacité d’accomplir leurs travaux habituels (méthode spécifique; cf. art. 28a al. 2 LAI). Pour évaluer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l'OFAS (CIIAI, n° 3079 ss dès le 1er janvier 2008).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2 juillet 2008 consid. 3; ATF 128 V 93). Pour satisfaire à l'obligation de réduire le dommage (cf. ATF 133 V 504 et les références citées),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d'eux, si la personne assurée n'est pas atteinte dans sa santé (arrêt TF I 257/04 du 17 mars 2005 consid. 5.4.4; ATF 130 V 97 consid. 3.3).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1997, p. 222).</w:t>
      </w:r>
    </w:p>
    <w:p>
      <w:r>
        <w:t>Tribunal cantonal TC Page 5 de 6 f) L’art. 28a LAI, en vigueur depuis le 1er janv. 2008 (5ème révision AI; RO 2007 5129; FF 2005 4215), dispose que l’invalidité des assurés qui exercent une activité professionnelle à temps partiel doit être évaluée en application de la méthode mixte, prévoyant l’évaluation d'une part de l'invalidité dans les travaux habituels par comparaison des activités (méthode spécifique; cf. art. 28a al. 2 LAI) et d'autre part de l'invalidité dans une activité lucrative par comparaison des revenus (méthode ordinaire; cf. art. 28a al. 1 LAI); l'invalidité globale doit alors être obtenue en additionnant les degrés d'invalidité correspondant aux parts respectives attribuées aux activités lucrative et non lucrative (VSI 1999 p. 231 consid. 2b et les références citées). La Cour européenne des droits de l’homme a, dans l’arrêt Di Trizio c. Suisse (n° 7186/09) du 2 février 2016, dit, par 4 voix contre 3, que la méthode mixte du droit suisse viole l’art. 14 (interdiction de la discrimination), combiné avec l’art. 8 (droit au respect de la vie privée et familiale) de la convention du 4 novembre 1950 de sauvegarde des droits de l'homme et des libertés fondamentales (CEDH; RS 0.101). Dans le cas particulier, « l’assurée travaillait initialement à plein temps et [qu’]elle avait dû en juin 2002 abandonner son activité à cause de problèmes de dos. Elle s’était vu reconnaître un taux d’invalidité de 50% pour la période allant du mois de juin 2003 à la naissance de ses jumeaux et octroyer une rente pour la période allant du 1er juin 2003 au 31 août 2004. Cette rente a été annulée ensuite, par application de la méthode mixte qui présupposait que – selon les déclarations de l’intéressée – même si elle n’avait pas été frappée d’invalidité, elle n’aurait pas travaillé à temps plein après la naissance de ses enfants. […] Le refus de lui reconnaître le droit à une rente avait pour fondement l'indication de sa volonté de réduire son activité rémunérée pour s'occuper de son foyer et de ses enfants. De fait, pour la grande majorité des femmes souhaitant travailler à temps partiel à la suite de la naissance d'un enfant, la méthode mixte s'avère discriminatoire. La différence de traitement subie par la requérante ne repose pas sur une justification raisonnable ». Cet arrêt est entré en force de chose jugée et a autorité positive de la chose jugée pour la Suisse. 3. Dans la décision litigieuse (p. 2, « partie lucrative ») ainsi que dans ses observations du</w:t>
      </w:r>
    </w:p>
    <w:p>
      <w:r>
        <w:rPr>
          <w:b/>
        </w:rPr>
        <w:t>E. 7</w:t>
      </w:r>
    </w:p>
    <w:p>
      <w:r>
        <w:t>juillet 2014 (p. 4, pt. 2a), l’autorité intimée a explicitement retenu que l’incapacité de travail de l’assuré dans son activité habituelle d’employée de bureau était restée inchangée. Le dossier de la cause confirme, en outre, que l’état de santé de la recourante ne s’est pas modifié depuis le 2 octobre 2008, date de la décision initiale lui ayant octroyé trois quarts de rente d’invalidité (cf. les déclarations de l’assuré dans le questionnaire pour la révision de la rente, dossier AI pce p. 508 à 510, ainsi que les prises de position des 17 septembre et 17 décembre 2013 du Dr D.________, médecin spécialiste FMH en médecine générale, du service médical régional, dossier AI pces p. 588 à 590 et 599 s.). La suppression des trois quarts de rente d’invalidité n’est donc pas fondée sur une amélioration de la capacité de travail de la recourante. Elle découle au contraire exclusivement de l’application nouvelle – ensuite de la naissance des enfants de l’assurée – de la méthode mixte. Le cas d’espèce correspond dès lors au cas ayant fait l’objet de l’arrêt de la Cour européenne des droits de l’homme précité. La décision litigieuse est donc discriminatoire et viole les art. 14 et 8 CEDH. 4. a) Partant, le recours doit être partiellement admis, la décision querellée annulée et la cause renvoyée à l’autorité intimée. Celle-ci, dans sa nouvelle décision, fera application d’une méthode d’évaluation de l’invalidité non discriminatoire. b) Les frais de justice, fixés à CHF 800.-, sont mis à la charge de l’autorité intimée. L’avance de frais de CHF 400.- consentie par la recourante lui est restituée.</w:t>
      </w:r>
    </w:p>
    <w:p>
      <w:r>
        <w:t>Tribunal cantonal TC Page 6 de 6 La recourante n’étant pas représentée, il n’est pas alloué de dépens. la Cour arrête: I. Le recours est partiellement admis. Partant, la décision du 27 février 2014 est annulée et la cause renvoyée à l'Office de l’assurance-invalidité du canton de Fribourg pour nouvelle décision au sens des considérants. II. Les frais de justice, fixés à CHF 800.-, sont mis à la charge de l’Office de l’assurance- invalidité du canton de Fribourg. III. L’avance de frais de CHF 400.- consentie par A.________ lui est restituée.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septembre 2016/YHO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