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52 vom 14. Januar 2015</w:t>
      </w:r>
    </w:p>
    <w:p>
      <w:r>
        <w:t>FR Kantonsgericht, 2015-01-14, DE</w:t>
      </w:r>
    </w:p>
    <w:p>
      <w:r>
        <w:rPr>
          <w:b/>
        </w:rPr>
        <w:t xml:space="preserve">Quelle: </w:t>
      </w:r>
      <w:r>
        <w:t>https://mcp.opencaselaw.ch/entscheid/fr_gerichte_608_2014_52</w:t>
      </w:r>
    </w:p>
    <w:p>
      <w:r>
        <w:t>FR: FR_GERICHTE 608 2014 52 du 14 janvier 2015</w:t>
      </w:r>
    </w:p>
    <w:p>
      <w:r>
        <w:t>IT: FR_GERICHTE 608 2014 52 del 14 gennaio 2015</w:t>
      </w:r>
    </w:p>
    <w:p>
      <w:pPr>
        <w:pStyle w:val="Heading2"/>
      </w:pPr>
      <w:r>
        <w:t>Regeste</w:t>
      </w:r>
    </w:p>
    <w:p>
      <w:r>
        <w:t>Arrêt de la IIe Cour des assurances sociales du Tribunal cantonal | Berufliche Vorsorge</w:t>
      </w:r>
    </w:p>
    <w:p>
      <w:pPr>
        <w:pStyle w:val="Heading2"/>
      </w:pPr>
      <w:r>
        <w:t>Erwägungen</w:t>
      </w:r>
    </w:p>
    <w:p>
      <w:r>
        <w:rPr>
          <w:b/>
        </w:rPr>
        <w:t>E. 1</w:t>
      </w:r>
    </w:p>
    <w:p>
      <w:r>
        <w:t>Suite à l'entrée en vigueur du nouveau code de procédure civile du 19 décembre 2008 (CPC; RS 272), le 1er janvier 2011, les art. 135 à 149 du code civil du 10 décembre 1907 (CC; RS 210) ont été abrogés. La présente procédure de divorce ayant été introduite le 30 avril 2012 sous l'empire des nouvelles dispositions du code civil, il sied de faire application des dispositions applicables dans leur teneur en vigueur à compter du 1er janvier 2011.</w:t>
      </w:r>
    </w:p>
    <w:p>
      <w:r>
        <w:rPr>
          <w:b/>
        </w:rPr>
        <w:t>E. 2</w:t>
      </w:r>
    </w:p>
    <w:p>
      <w:r>
        <w:t>a) Selon l'art. 25a de la loi fédérale du 17 décembre 1993 sur le libre passage dans la prévoyance professionnelle vieillesse, survivants et invalidité (LFLP; RS 831.42), en cas de désaccord des conjoints sur la prestation de sortie à partager en cas de divorce (art. 122 et 123 CC), le juge du lieu du divorce compétent au sens de l'art. 73 al. 1 de la loi fédérale du 25 juin 1982 sur la prévoyance professionnelle vieillesse, survivants et invalidité (LPP; RS 831.40) doit, après que l'affaire lui a été transmise (art. 281 al. 3 CPC), exécuter d'office le partage sur la base de la clé de répartition déterminée par le juge du divorce (al. 1). Les conjoints et les institutions de prévoyance professionnelle ont qualité de partie dans cette procédure. Le juge leur impartit un délai raisonnable pour déposer leurs conclusions (al. 2). b) En l'espèce, la compétence de l'autorité judiciaire de céans, tant à raison du lieu que de la matière, ainsi que la qualité de partie des ex-époux et des caisses de pension concernées, sont données.</w:t>
      </w:r>
    </w:p>
    <w:p>
      <w:r>
        <w:rPr>
          <w:b/>
        </w:rPr>
        <w:t>E. 3</w:t>
      </w:r>
    </w:p>
    <w:p>
      <w:r>
        <w:t>a) Aux termes de l’art. 22 al. 1 LFLP, en cas de divorce, les prestations de sortie acquises durant le mariage sont partagées, conformément aux art. 122 et 123 CC, et aux art. 280 et 281 CPC; les art. 3 et 5 LFLP s’appliquent par analogie au montant à transférer.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Toutes les prétentions issues de rapports de prévoyance soumis à la loi sur le libre passage doivent en principe être partagées en cas de divorce selon les art. 122 ss (T. GEISER, Le nouveau droit du divorce et les droits en matière de prévoyance professionnelle, in : De l’ancien au nouveau droit du divorce, Berne 1999, p. 64; H. HAUSHEER, Die wesentlichen Neuerungen des neuen Scheidungsrechts, ZBJV 1999, p. 12; H. WALSER, Berufliche Vorsorge, in : Das neue Scheidungsrecht, Zurich 1999, p. 52).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(ATF 132 V 236 consid. 2.3). b)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 que le tribunal est convaincu que la convention est conforme à la loi, cette dernière, une fois ratifiée, est également contraignante pour les institutions de prévoyance professionnelle. Tribunal cantonal TC Page 4 de 6 Aux termes de l'art. 281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(al. 1). Selon l'alinéa 3 de cette disposition, dans les autres cas,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le montant des avoirs des époux déclarés par ces institutions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c) Conformément à l'art. 22 al. 2 LFLP,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(Tribunal fédéral, arrêt non publié dans la cause OFAS c/ Caisse de pension X. [B 105/02] du 4 septembre 2003 consid. 2.1; ATF 129 V 251). Enfin, en vertu de l'art. 7 de l'ordonnance du 10 octobre 1994 sur le libre passage dans la prévoyance professionnelle (OLP; RS 831.425), en corrélation avec l'art. 12 de l'ordonnance du 18 avril 1984 sur la prévoyance professionnelle vieillesse, survivants et invalidité (OPP2; RS 831.441.1), des intérêts moratoires sont dus, le cas échéant, à partir du 31ème jour suivant le jour de l'entrée en force de la décision du juge des assurances sociales ou, s'il a été déféré au Tribunal fédéral, dès que l'arrêt a été prononcé (Tribunal fédéral, arrêt non publié précité dans la cause B 105/02, consid. 3; ATF 129 V 251 consid. 4.2.2).</w:t>
      </w:r>
    </w:p>
    <w:p>
      <w:r>
        <w:rPr>
          <w:b/>
        </w:rPr>
        <w:t>E. 4</w:t>
      </w:r>
    </w:p>
    <w:p>
      <w:r>
        <w:t>a) En l'espèce, les mesures d'instruction ont permis d'établir que l'ensemble des avoirs de prévoyance accumulés par l'ex-époux durant le mariage se trouve auprès de deux fonds de prévoyance. Dans son attestation du 21 août 2014, C.________ indique que la prestation de sortie au jour de l'entrée en force du jugement de divorce, soit le 27 février 2014, se monte à 3'046 fr. 85 et que l'avoir de prévoyance au jour du mariage, soit le 9 avril 2010, y compris les intérêts dus jusqu'au jour du divorce, s'élève à 150 francs, de sorte que la prestation de sortie acquise durant le mariage est de 2'896 fr. 85. Dans son attestation du 4 septembre 2014, D.________ communique Tribunal cantonal TC Page 5 de 6 que le montant de la prestation de libre passage acquise durant le mariage, soit du 9 avril 2010 au 27 février 2014, est de 62 fr. 60 (2'819 fr. 91 au moment du divorce – 2'757 fr. 31 au jour du mariage, y compris les intérêts jusqu'au jour du divorce). Les deux institutions de prévoyance ont en outre confirmé le caractère réalisable du partage. La prestation de sortie à partager de l'ex- époux se monte dès lors à 2'959 fr. 45 (2'896.85 + 62.60). En ce qui concerne l'ex-épouse, il sied tout d'abord de relever que, âgée de 23 ans au moment du mariage, soit le 9 avril 2010, elle n'était pas encore soumise à l'assurance obligatoire pour le risque vieillesse (cf. art. 7 al. 1 LPP). Elle ne dispose donc d'aucune prestation de sortie à ce moment. Ensuite, comme elle l'allègue, il ressort de l'extrait de son compte individuel que, durant le mariage, elle n'a pas travaillé. Elle a certes reçu des indemnités de chômage en 2011, mais, dans un tel cas, le risque vieillesse n'est pas assuré, de sorte qu'il n'en résulte pas de prestation de sortie à partager (cf. art. 2 al. 1 LFLP et 1 al. 1 de l'ordonnance sur la prévoyance professionnelle obligatoire des chômeurs [RS 837.174]). Il faut ainsi conclure que, pour la période du mariage, l'ex-épouse n'a aucune prestation de sortie à partager. En utilisant la clé de répartition fixée par le juge civil, l'ex-épouse a droit à la moitié de la prestation de sortie de l'ex-époux, soit à 1'479 fr. 70 (2'959.45 : 2). C'est donc ce montant, ajouté des intérêts compensatoires compensés courant du jour de l'entrée en force du jugement de divorce, soit le 27 février 2014, au jour du transfert, que C.________ doit verser du compte de l'ex-époux sur le compte de libre passage ouvert par l'ex-épouse auprès de la Fondation de libre passage de E.________. Des intérêts moratoires seront en outre dus par dite institution, le cas échéant, à partir du 31ème jour suivant l'entrée en force du présent arrêt. En application du principe de la gratuité de la procédure valant en la matière, il n'est pas perçu de frais de justice. b) L'ex-épouse ayant été mise au bénéfice de l'assistance judiciaire gratuite totale par le juge du divorce et celle-ci ayant été étendue à la présente procédure, il se justifie de fixer l'indemnité à laquelle peut prétendre ici son défenseur d'office. Compte tenu de la liste de frais déposée le 8 janvier 2015 par Me Denis Schroeter, avocat, ainsi que de la complexité et de l'importance relatives de l'affaire, l'indemnité due à ce dernier est fixée, comme demandé, à 899 fr. 20 pour les honoraires et débours, plus 71 fr. 95 au titre de la TVA à 8%, soit à un total de 971 fr. 15, et de la mettre intégralement à la charge de l'Etat. Tribunal cantonal TC Page 6 de 6 la Cour arrête: I. C.________ est invitée à transférer le montant de 1'479 fr. 70, ajouté des intérêts compensatoires compensés courant du jour de l'entrée en force du jugement de divorce, soit le 27 février 2014, au jour du transfert, du compte de l'ex-époux sur celui de l'ex-épouse ouvert auprès de la Fondation de libre passage de E.________. II. Il n'est pas perçu de frais de justice. III. L'indemnité allouée à Me Denis Schroeter, avocat, en sa qualité de défenseur d'office, est fixée à 899 fr. 20 (honoraires et débours compris), plus 71 fr. 95 au titre de la TVA à 8%, soit à un total de 971 fr. 15, et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janvier 2015/meg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