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24 vom 2. Februar 2016</w:t>
      </w:r>
    </w:p>
    <w:p>
      <w:r>
        <w:t>FR Kantonsgericht, 2016-02-02, FR</w:t>
      </w:r>
    </w:p>
    <w:p>
      <w:r>
        <w:rPr>
          <w:b/>
        </w:rPr>
        <w:t xml:space="preserve">Quelle: </w:t>
      </w:r>
      <w:r>
        <w:t>https://mcp.opencaselaw.ch/entscheid/fr_gerichte_608_2014_24</w:t>
      </w:r>
    </w:p>
    <w:p>
      <w:r>
        <w:t>FR: FR_GERICHTE 608 2014 24 du 2 février 2016</w:t>
      </w:r>
    </w:p>
    <w:p>
      <w:r>
        <w:t>IT: FR_GERICHTE 608 2014 24 del 2 febbraio 2016</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 rente est échelonnée comme suit selon le taux de l’invalidité: un taux d’invalidité de 40%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b) On applique de manière générale dans le domaine de l'assurance-invalidité le principe selon lequel un invalide doit, avant de requérir des prestations de l'assurance-invalidité,</w:t>
      </w:r>
    </w:p>
    <w:p>
      <w:r>
        <w:t>Tribunal cantonal TC Page 4 de 6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(arrêt TF 9C_1043/2008 du 2 juillet 2009 consid. 3.1).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115 V 133 consid. 2, 114 V 310 consid. 3c, 105 V 156 consid. 1).</w:t>
      </w:r>
    </w:p>
    <w:p>
      <w:r>
        <w:rPr>
          <w:b/>
        </w:rPr>
        <w:t>E. 3</w:t>
      </w:r>
    </w:p>
    <w:p>
      <w:r>
        <w:t>En l'espèce, le recourant reproche tout d'abord à l'autorité intimée des contradictions entre le fait que son activité actuelle n'est plus possible et qu'un changement d'activité est exigible alors que des mesures d'ordre professionnelles ne sont pas nécessaires, ce qui sous-entendrait qu'il pourrait continuer son activité actuelle malgré l'atteinte à la santé. Le recourant réfute en outre de pouvoir exercer une autre activité adaptée au vu de son âge, de sa formation et des critères du poste rendant vaine toute recherche d'emploi. Ce faisant, il ne conteste pas sa capacité de travail (50 % dans son activité actuelle de vendeur-magasinier, 100 % dans une activité adaptée), ni le calcul du degré d'invalidité, mais implicitement l'exigibilité du changement d'activité. Par ailleurs, ni l'atteinte à la santé du recourant ni les limitations fonctionnelles en découlant ne sont contestées. La Cour de céans constate tout d'abord que la décision attaquée ne contient pas de contradictions. En effet, le fait que des mesures d'ordre professionnelles ne soient pas nécessaires ne signifie pas que l'ancienne activité est encore totalement ou partiellement exigible, mais qu'une activité adaptée peut être exercée immédiatement sans avoir par exemple besoin d'une formation particulière. Il convient ensuite d'examiner si le changement d'activité est ou non exigible, étant rappelé que le recourant ne conteste pas sa capacité de travail. L'assuré allègue que les possibilités de réadaptation par l'employeur ont toutes été explorées et que lui-même a fait tout ce qui était possible pour réduire le dommage. Toutefois, changer d'emploi pour exercer une activité adaptée aux troubles fait également partie des mesures que l'assuré doit prendre pour réduire le dommage. Ainsi, le recourant est tenu de le faire, d'autant plus que dans le</w:t>
      </w:r>
    </w:p>
    <w:p>
      <w:r>
        <w:t>Tribunal cantonal TC Page 5 de 6 cas présent, une activité adaptée lui permettra non seulement de réduire le dommage, mais même d'obtenir un revenu égal voire supérieur à celui qu'il touchait en exerçant son activité de vendeur à plein temps. Par ailleurs, son âge et son niveau de formation ne sont pas de nature à l'empêcher de trouver un travail adapté. En effet, le recourant était âgé de 51 ans au moment où la décision attaquée a été rendue et il n'avait ainsi de loin pas atteint l'âge à partir duquel la jurisprudence considère généralement qu'il n'existe plus de possibilité réaliste de mise en valeur de la capacité résiduelle de travail sur un marché de l'emploi supposé équilibré (cf. arrêt TF 9C_920/2013 du 20 mai 2014, consid. 4.4). Son manque de formation n'est pas non plus déterminant. S'il est vrai que les restrictions induites par ce manque peuvent limiter dans une certaine mesure les possibilités de retrouver un emploi, on ne saurait toutefois considérer qu'elles rendent cette perspective illusoire. Il n'est à tout le moins pas arbitraire ni contraire au droit fédéral d'affirmer que le marché du travail offre un large éventail d'activités légères, dont on doit convenir qu'un nombre important sont adaptées aux limitations du recourant – lesquelles sont en l'espèce: activité sédentaire avec possibilité d'alterner les positions assise et debout, pas de port de charges lourdes, pas de marche en terrain inégal et pas de long déplacement à pied – et accessibles sans formation particulière si ce n'est une mise au courant initiale (arrêt TF 9C_67/2015 du 23 juin 2015). L'allégation du recourant selon laquelle les critères du poste rendraient illusoire et vaine toute recherche d'emploi doit dès lors être rejetée. De plus, on doit nier que les limitations sont à ce point importantes qu'il ne pourrait pas trouver une place de travail dans un tel marché. Enfin, la décision attaquée n'empêche pas le recourant de continuer son activité actuelle jusqu'à ce qu'il trouve une activité adaptée. L'OAI lui a de plus accordé une aide au placement le 18 septembre 2013. Il appartient dès lors au recourant de prendre contact avec l'autorité intimée afin de la mettre en place. Le recourant relève encore que sa demande de complément d'instruction n'a pas été analysée par une équipe interdisciplinaire comme indiqué dans le mémento 4.06 "Prestations de l'AI". Il faut cependant constater que la décision de ne pas faire ce complément a bien été prise en équipe, c'est-à-dire par l'OAI en collaboration avec le médecin du SMR. Il n'est pas nécessaire que l'équipe interdisciplinaire comporte plusieurs médecins. Quant à faire examiner le recourant par un médecin du SMR, on ne voit pas ce qu'un tel examen apporterait de plus. En effet, le médecin du SMR, pour établir son rapport, s'est basé sur le dossier médical complet du recourant et a pris en compte notamment les rapports médicaux de son médecin traitant, dont il ne contredit d'ailleurs pas les diagnostics et limites fonctionnelles. Ainsi, il peut être exigé du recourant qu'il change d'activité professionnelle. Celui-ci ne conteste pas le calcul du degré d'invalidité, qui a été correctement établi par l'OAI. De ce fait, il peut réaliser dans une activité adaptée un revenu égal ou supérieur à son activité actuelle, ce qui exclu le droit à une rente tout comme celui à des mesures de réadaptation. Pour être complet, la Cour de céans note que deux rapports médicaux du Dr C.________, spécialiste FMH en médecine interne générale, du 13 octobre 2015 et du 18 janvier 2016, ainsi qu'un courrier du Prof. D.________ du 17 janvier 2016 figurent encore au dossier. La Cour constate que ces documents ont été établis postérieurement à la décision attaquée et qu'ils ne contiennent de surcroît aucun élément susceptible de remettre en cause ce qui précède, de sorte qu'ils n'ont pas à être pris en compte. En effet, les deux médecins ne remettent pas en cause les diagnostics posés et les limitations fonctionnelles du recourant, mais s'expriment</w:t>
      </w:r>
    </w:p>
    <w:p>
      <w:r>
        <w:t>Tribunal cantonal TC Page 6 de 6 essentiellement sur les difficultés financières actuelles de celui-ci et sur ses soucis de santé postérieurs à la décision attaquée.</w:t>
      </w:r>
    </w:p>
    <w:p>
      <w:r>
        <w:rPr>
          <w:b/>
        </w:rPr>
        <w:t>E. 4</w:t>
      </w:r>
    </w:p>
    <w:p>
      <w:r>
        <w:t>Partant, au vu de ce qui précède, le recours doit être rejeté et la décision attaquée confirmée. La procédure n'étant pas gratuite, les frais de justice sont fixés à CHF 800.- et sont mis à la charge du recourant qui succombe. Vu la décision d'octroi de l'assistance judiciaire partielle du 8 mai 2014, le paiement ne sera toutefois pas exigé de sa part. la Cour arrête: I. Le recours est rejeté. II. Les frais de procédure, par CHF 800.-, sont mis à la charge du recourant. Ils ne lui sont toutefois pas réclamés en raison de l'assistance judiciaire octroyée.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février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