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228 vom 30. Mai 2016</w:t>
      </w:r>
    </w:p>
    <w:p>
      <w:r>
        <w:t>FR Kantonsgericht, 2016-05-30, FR</w:t>
      </w:r>
    </w:p>
    <w:p>
      <w:r>
        <w:rPr>
          <w:b/>
        </w:rPr>
        <w:t xml:space="preserve">Quelle: </w:t>
      </w:r>
      <w:r>
        <w:t>https://mcp.opencaselaw.ch/entscheid/fr_gerichte_608_2014_228</w:t>
      </w:r>
    </w:p>
    <w:p>
      <w:r>
        <w:t>FR: FR_GERICHTE 608 2014 228 du 30 mai 2016</w:t>
      </w:r>
    </w:p>
    <w:p>
      <w:r>
        <w:t>IT: FR_GERICHTE 608 2014 228 del 30 maggio 2016</w:t>
      </w:r>
    </w:p>
    <w:p>
      <w:pPr>
        <w:pStyle w:val="Heading2"/>
      </w:pPr>
      <w:r>
        <w:t>Regeste</w:t>
      </w:r>
    </w:p>
    <w:p>
      <w:r>
        <w:t>Arrêt de la IIe Cour des assurances sociales du Tribunal cantonal | Invalidenversicherung</w:t>
      </w:r>
    </w:p>
    <w:p>
      <w:pPr>
        <w:pStyle w:val="Heading2"/>
      </w:pPr>
      <w:r>
        <w:t>Erwägungen</w:t>
      </w:r>
    </w:p>
    <w:p>
      <w:r>
        <w:rPr>
          <w:b/>
        </w:rPr>
        <w:t>E. 6</w:t>
      </w:r>
    </w:p>
    <w:p>
      <w:r>
        <w:t>décembre 2014 auprès de la Cour de céans. En substance, il se réfère à ces revenus d’ébéniste indépendant entre 2009 et 2013, dont il ressortirait sans équivoque une perte de gain qui devrait être compensée par une rente de l’assurance-invalidité. Au vu de la situation sur le marché de travail et de son âge, il serait illusoire de penser qu’il puisse trouver un emploi dans une activité dépendante. Il conclut à l’annulation de la décision entreprise ainsi que, implicitement du moins, à l’octroi d’une rente. Le recourant s’est acquitté d’une avance de frais de CHF 800.-. Dans ses observations du 10 juin 2015, l'OAI fait valoir d’une part que, pour fixer le taux d’invalidité, il y a lieu de se baser sur le revenu que le recourant aurait pu obtenir sans invalidité pour le comparer à celui dans un emploi adapté. D’autre part, selon l’autorité, il est convenable pour son assuré d’abandonner l’activité de restaurateur indépendant, cela malgré son âge. Dans ses contre-observations du 17 août 2015, le recourant soulève que ses connaissances professionnelles sont celles d’un restaurateur en mobilier ancien, à des années lumières de la description faite des produits qu’il pourrait représenter s’il devait changer de métier ainsi que</w:t>
      </w:r>
    </w:p>
    <w:p>
      <w:r>
        <w:t>Tribunal cantonal TC Page 3 de 10 l’exige l’assurance. En réalité, l’activité telle que proposée par l’OAI n’existe pas sur le marché du travail. Il verse au dossier différentes annonces d’offres d’emploi, dont il ressort que l’activité de vendeur doit s’exercer à plein temps. L’OAI, par écriture du 18 septembre 2015, a pris acte des contre-observations et pièces déposés par le recourant et a maintenu ses conclusions Il n'a pas été ordonné d'autre échange d'écritures. D.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al. 2 LAI). b) D'après l'art. 16 LPGA, pour évaluer le taux d’invalidité, le revenu du travail que l'assuré aurait pu obtenir s'il n'était pas invalide (cf. également ci-dessous consid. 4) est comparé avec celui qu'il pourrait obtenir en exerçant l'activité qui peut raisonnablement être exigée de lui après les traitements et les mesures de réadaptation, sur un marché du travail équilibré (cf. plus en détail consid 5).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w:t>
      </w:r>
    </w:p>
    <w:p>
      <w:r>
        <w:t>Tribunal cantonal TC Page 4 de 10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d’appliquer l'indice relatif aux hommes ou aux femmes (ATF 129 V 408). d) Pour conférer pleine valeur probante à un rapport médical, il importe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Bien que les rapports d'examen réalisés par un SMR en vertu de l'art. 49 al. 2 RAI ne soient pas des expertises au sens de l'art. 44 LPGA et ne soient pas soumis aux mêmes exigences formelles, ils peuvent néanmoins revêtir la même valeur probante que des expertises, dans la mesure où ils satisfont aux exigences définies par la jurisprudence en matière d'expertise médicale.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de l'assurance (arrêt TF 9C_500/2011 du 26 mars 2012 consid. 3.1). e)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w:t>
      </w:r>
    </w:p>
    <w:p>
      <w:r>
        <w:t>Tribunal cantonal TC Page 5 de 10 pertinents, une appréciation des preuves et une comparaison des revenus conformes au droit (ATF 133 V 108 consid. 5 et 130 V 71 consid. 3). 3. En l'espèce, le litige porte sur le droit du recourant à une rente d'invalidité. Il convient de souligner d’entrée que la capacité de travail de ce dernier, laquelle relève d'une appréciation médicale de sa situation, n’est pas contestée et ressort clairement de l’expertise rhumatologique du 9 décembre 2013 de la Dresse Clottu, rhumatologue auprès du SMR. Selon ce rapport, l’état de santé de l’assuré, depuis la décision du 28 juillet 2005, s’est péjoré et l’activité habituelle d’ébéniste-restaurateur n’est plus exigible. En revanche, tenant compte des atteintes touchant le poignet droit, la main gauche, de l’anamnèse d’épisodes de périarthrite scapulohumérale des deux côtés, de lombalgies chroniques dans le cadre de troubles dégénératifs, la capacité de travail a été arrêtée à 50% dans l’exercice d’une activité adaptée, sans mouvements fins ou répétitifs avec le poignet et la main droite, sans mouvements de motricité fine avec la main gauche, sans port de charges itératif de plus de 5 à 10 kg en bi-manuel ou de 5 kg en mono-manuel, sans travail sur échelle ni échafaudage, sans mouvements itératifs contraignants pour le rachis, sans travail avec des engins émettant des vibrations, sans travail itératif les bras en hauteur, dans un environnement à température modérée. Rien dans le dossier ne permet de penser que le Tribunal ne pourrait pas se fier à cette exigibilité médicale. L'état de fait est établi de manière satisfaisante, au degré de la vraisemblance prépondérante, est fondé sur un avis de spécialiste qui a examiné l’assuré, en connaissance des pièces du dossier médical, et qui prend des conclusions claires et compréhensibles. L’autorité intimée était, sur le vu de ce qui précède, en droit de retenir qu’on ne peut exiger du recourant de continuer d’exercer son activité lucrative habituelle, mais qu’il est capable de travailler à mi-temps dans toute activité légère et adaptée à son état de santé, notamment dans le domaine de la vente. Le taux d'invalidité résultant de cette incapacité de travail partielle doit encore être déterminé en comparant le revenu sans problèmes de santé (consid. 4) avec celui après l’atteinte (consid 5). 4. Le revenu hypothétique de la personne valide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129 V 222 consid. 4.3.1 et les références).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arrêt TF I 138/04 du 20 janvier 2005 ; AJP 2002 1487; RCC 1992 p. 96 consid. 4a). L’autorité intimée a fixé le revenu sans invalidité du recourant en se fondant sur celui de son activité indépendante avant la survenance des problèmes de santé et l’a arrêté à CHF 33’954.90.- brut par an, soit le revenu de CHF 30’535.- retenu dans la première décision du 22 juillet 2008 indexé à hauteur de 11.2% selon l’indice des salaires nominaux de la branche. En 2008, l’autorité avait calculé ce revenu sur la base de la moyenne des revenus réalisés durant les années 2002 à 2004 selon les comptabilités présentées. Ce calcul n’est en soi pas contesté.</w:t>
      </w:r>
    </w:p>
    <w:p>
      <w:r>
        <w:t>Tribunal cantonal TC Page 6 de 10 Dans son principe, cette façon de faire échappe à la critique. C’est à juste titre que les bénéfices provenant de l’activité indépendante ont été pris en considération, même s’ils n’étaient pas élevés. Eu égard au fait que le recourant s’est mis à son compte en 1981 déjà et que cette situation était stable depuis lors, on doit admettre que le prénommé n'aurait pas abandonné l'exercice de son activité d’ébéniste indépendant, se contentant ainsi de revenus relativement faibles. Ceci dit, il ressort des inscriptions de l’extrait du compte individuel (cf. à ce sujet arrêt TF 9C_6/2012 du 12 février 2012) que les revenus entre 2002 et 2004 étaient de CHF 33'700.- (2002), CHF 36'100.- (2003) et CHF 31'300.- (2004), soit une moyenne de CHF 33'700.-. Indexé de 2003 à 2014 selon l’indice des salaires nominaux de l’office fédéral de la statistique, il en résulte un montant de CHF 38'306.70. Peut cependant rester ouverte la question de savoir s’il faut corriger le calcul de l’autorité dès lors qu’il n’en découlerait de toute manière pas un droit à une rente (cf. ci-dessous consid. 6). 5.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n. 1.1.1.2). L'examen d'un éventuel droit à des prestations de l'assurance- 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TF 9C_236/2009 du 7 octobre 2009 consid. 4.4.1).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TF I 750/04 du 5 avril 2006 consid. 5.3 in SVR 2007 IV n° 1 p. 1;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w:t>
      </w:r>
    </w:p>
    <w:p>
      <w:r>
        <w:t>Tribunal cantonal TC Page 7 de 10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TF 9C_236/2009 du 7 octobre 2009 consid. 4.3 et les références; voir également arrêt TF 8C_748/2008 du 10 juin 2009 consid. 4; s'agissant de la situation d'un agriculteur, voir arrêt TF I 38/06 du 7 juin 2006 consid. 3.2 et les références). b) D'un point de vue objectif, rien ne fait obstacle à ce que l'assuré change d'activité professionnelle. Âgé de 57 ans au moment de la décision litigieuse et de 56 ans au moment de l’expertise, le recourant n'avait pas atteint l'âge à partir duquel la jurisprudence considère généralement qu'il n'existe plus de possibilité réaliste de mise en valeur de la capacité résiduelle de travail sur un marché de l'emploi supposé équilibré (cf. arrêts TF 9C_918/2008 du 28 mai 2009 consid. 4.2.2; 9C_437/2008 du 19 mai 2009 consid. 4). Il ne semble par ailleurs pas que le choix de postes de travail exigibles soit si limité qu'il rende très incertaine la possibilité de trouver un emploi dans un lieu proche de son domicile. Contrairement à ce que croit le recourant, le marché équilibré offre des postes de travail à temps partiel, surtout si on considère de plus qu’il peut en principe travailler dans tous les domaines de l’économie. Même si le recourant ne possède aucune expérience professionnelle dans un domaine économique autre que celui dans lequel il œuvre actuellement, on doit relever que le salaire dont a tenu compte l’autorité est le salaire au niveau de qualification ne nécessitant précisément pas de telles connaissances. Partant, pour mettre au profit sa capacité de travail résiduelle, il n’est pas limité au marché des meubles anciens. On relèvera pour finir que les perspectives de revenu offertes par un changement d'activité sont nettement plus élevées que le revenu que le recourant a obtenu même en étant en bonne santé. S’y ajoute le fait que le maintien de l’activité est clairement contre-indiqué médicalement.</w:t>
      </w:r>
    </w:p>
    <w:p>
      <w:r>
        <w:t>Tribunal cantonal TC Page 8 de 10 Au vu de ces circonstances, il convient d'admettre que l’autorité n'a pas abusé de son pouvoir d'appréciation, en considérant qu'il pouvait être exigé de l'assuré - malgré ses craintes par rapport à ses facultés d'adaptation et son attachement à son entreprise et à l’éventuelle reprise du commerce par son fils - qu'il change d'activité afin de réaliser un revenu excluant le droit à une rente. Bien que, sans atteinte à la santé, le recourant exercerait vraisemblablement son activité d’ébéniste indépendant et que c’est dans ce domaine qu’il possède des connaissances particulières, la détermination du revenu d'invalide suppose - à la différence de ce qui vaut dans le cadre de la fixation du revenu de valide - la prise en considération de l'obligation pour l'assuré de diminuer le dommage, principe général du droit des assurances sociales (cf. ATF 134 V 64 consid. 4), ainsi que démontré ci-dessus. Or, cette exigence signifie, dans le cas d'espèce, que l'assuré qui demande d'être mis au bénéfice d'une rente est tenu d'exercer une activité dans tous les secteurs économiques disponibles, sans se limiter au domaine dans lequel il travaillerait en tant que personne non atteinte dans sa santé ou dans lequel il bénéficie de connaissances particulières. c) Partant, pour fixer le revenu d'invalide de l'assuré, il convient de se fonder, conformément à la jurisprudence (cf. ATF 129 V 472 consid. 4.2.1), sur les données économiques statistiques. En l'absence d'un revenu effectivement réalisé, la jurisprudence admet la référence au groupe des tableaux "A", correspondant aux salaires bruts standardisés, de l'Enquête suisse sur la structure des salaires (arrêt TF I 194/06 du 28 septembre 2006 consid. 2.1 et la référence).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TF 9C_603/2015 du 25 avril 2016 consid. 8.1;9C_242/2012 du 13 août 2012 consid. 3).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(arrêts TF 9C_761/2012 du 7 juin 2013, I 198/97 du</w:t>
      </w:r>
    </w:p>
    <w:p>
      <w:r>
        <w:rPr>
          <w:b/>
        </w:rPr>
        <w:t>E. 7</w:t>
      </w:r>
    </w:p>
    <w:p>
      <w:r>
        <w:t>Partant, le recours doit être rejeté et la décision querellée confirmée. Les frais de justice, fixés à CHF 800.-, sont mis à la charge du recourant et compensés par l’avance de frais. la Cour arrête: I. Le recours est rejeté. II. Les frais de justice sont fixés à CHF 800.- et compensés avec l’avance du même montant.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w:t>
      </w:r>
    </w:p>
    <w:p>
      <w:r>
        <w:t>Tribunal cantonal TC Page 10 de 10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mai 2016/mgu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