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223 vom 17. Mai 2016</w:t>
      </w:r>
    </w:p>
    <w:p>
      <w:r>
        <w:t>FR Kantonsgericht, 2016-05-17, FR</w:t>
      </w:r>
    </w:p>
    <w:p>
      <w:r>
        <w:rPr>
          <w:b/>
        </w:rPr>
        <w:t xml:space="preserve">Quelle: </w:t>
      </w:r>
      <w:r>
        <w:t>https://mcp.opencaselaw.ch/entscheid/fr_gerichte_608_2014_223</w:t>
      </w:r>
    </w:p>
    <w:p>
      <w:r>
        <w:t>FR: FR_GERICHTE 608 2014 223 du 17 mai 2016</w:t>
      </w:r>
    </w:p>
    <w:p>
      <w:r>
        <w:t>IT: FR_GERICHTE 608 2014 223 del 17 maggio 2016</w:t>
      </w:r>
    </w:p>
    <w:p>
      <w:pPr>
        <w:pStyle w:val="Heading2"/>
      </w:pPr>
      <w:r>
        <w:t>Regeste</w:t>
      </w:r>
    </w:p>
    <w:p>
      <w:r>
        <w:t>Arrêt de la IIe Cour des assurances sociales du Tribunal cantonal | Invalidenversicherung</w:t>
      </w:r>
    </w:p>
    <w:p>
      <w:pPr>
        <w:pStyle w:val="Heading2"/>
      </w:pPr>
      <w:r>
        <w:t>Erwägungen</w:t>
      </w:r>
    </w:p>
    <w:p>
      <w:r>
        <w:rPr>
          <w:b/>
        </w:rPr>
        <w:t>E. 12</w:t>
      </w:r>
    </w:p>
    <w:p>
      <w:r>
        <w:t>heures de sommeil profond lors de son examen par I.________, alors qu’une personne en santé nécessite seulement 3 à 4 heures de sommeil profond par nuit, et qu’il lui arrivait de dormir 22 heures par jour. Par courrier du 22 janvier 2016, elle a encore souligné que sa fille suivait un traitement au Flumazénil, traitement élaboré à J.________ et non pris en charge par l’assurance- maladie. Par missive du 23 mars 2016, elle a enfin signifié que la recourante était en instance de divorce et se trouvait dans une situation financière difficile. Il n'a pas été ordonné d'autre échange d'écritures. Il sera fait état des arguments des parties, développés par elles à l’appui de leurs conclusions, dans les considérants en droit du présent arrêt, pour autant que cela soit utile à la solution du litige.</w:t>
      </w:r>
    </w:p>
    <w:p>
      <w:r>
        <w:t>Tribunal cantonal TC Page 3 de 10 en droit 1. Interjeté en temps utile et dans les formes légales auprès de l'autorité judiciaire compétente par une assurée directement touchée par la décision attaquée et dûment représentée,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Dans l’arrêt TF 9C_625/2015 du 17 novembre 2015 (consid. 4.2.4), la Cour suprême a précisé que la jurisprudence relative aux troubles somatoformes douloureux (ATF 141 V 281; 137 V 64 = SVR 2011 IV no 56 168) s’appliquait également aux pathologies présentant un ensemble de symptômes comparables, tel que l'hypersomnie non organique ([F51.2], qui suppose l’absence d’un facteur organique expliquant la survenue d’une hypersomnie). Or,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ATF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w:t>
      </w:r>
    </w:p>
    <w:p>
      <w:r>
        <w:t>Tribunal cantonal TC Page 4 de 10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Enfin, les facteurs psychosociaux et socioculturels ne constituent pas pour eux seuls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c)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d)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w:t>
      </w:r>
    </w:p>
    <w:p>
      <w:r>
        <w:t>Tribunal cantonal TC Page 5 de 10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e)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du règlement du 17 janvier 1961 sur l'assurance-invalidité (RAI; RS 831.201) et que l'assuré a interjeté recours pour ce motif. Ce contrôle par l'autorité judiciaire n'est en revanche pas nécessaire lorsque l'administration est entrée en matière sur la nouvelle demande (ATF 109 V 114 consid. 2b). Lorsque l'administration est entrée en matière sur la nouvelle demande et la rejette au fond, un recours contre cette décision doit être examinée au regard des conditions de la révision du droit à la rente (art. 17 LPGA), applicables par analogie à l'examen des conditions matérielles d'une nouvelle demande (ATF 130 V 64 consid. 2; arrêts TF I 329/05 du 10 février 2006 consid. 1.1 et I 152/01 du 11 septembre 2001 consid. 1b; VSI 1999 84 consid. 1b). Lors du dépôt d'une nouvelle demande à la suite d'un premier refus de prestations de l'assurance-invalidité, la naissance du droit à la rente d'invalidité reste subordonnée aux conditions prévues aux art. 28 et 29 LAI (cf. ATF 140 V 2 consid. 5.3 et arrêt TF 9C_901/2012 du 21 mai 2013 consid. 6); ainsi, le droit à la rente prend naissance au plus tôt à l'échéance d'une période de six mois à compter de la date à laquelle</w:t>
      </w:r>
    </w:p>
    <w:p>
      <w:r>
        <w:t>Tribunal cantonal TC Page 6 de 10 l'assuré a fait valoir son droit aux prestations conformément à l'art. 29 al. 1 LPGA, mais pas avant le mois qui suit le 18ème anniversaire de l'assuré (art. 29 al. 1 LAI), et la rente est versée dès le début du mois au cours duquel le droit prend naissance (art. 29 al. 3 LAI).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w:t>
      </w:r>
    </w:p>
    <w:p>
      <w:r>
        <w:rPr>
          <w:b/>
        </w:rPr>
        <w:t>E. 17</w:t>
      </w:r>
    </w:p>
    <w:p>
      <w:r>
        <w:t>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f)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Quand une expertise ne répond pas suffisamment aux questions auxquelles il faut répondre, selon la nouvelle jurisprudence en lien avec les troubles somatoformes douloureux, le Tribunal fédéral a laissé ouverte la possibilité d’un renvoi à l’administration afin que soient posées les questions complémentaires à l’expert (ATF 141 V 281 consid. 10.1.3).</w:t>
      </w:r>
    </w:p>
    <w:p>
      <w:r>
        <w:t>Tribunal cantonal TC Page 7 de 10 3. Le litige porte sur l’évolution du taux d'invalidité de l'assurée, singulièrement sur l’évolution de sa capacité de travail résiduelle. Il s’agit dès lors de comparer son état de santé au moment de la dernière décision ayant matériellement examiné son droit à la rente (cf. supra consid. 2e) avec son état de santé au moment de la décision de révision portée céans, ce qui relève d’une appréciation médicale de sa situation. a) La documentation médicale suivante a été produite dans le cadre de la procédure initiale : - Le rapport d’expertise psychiatrique du 3 janvier 2010 du Dr F.________, médecin spécialiste FMH en psychiatrie et psychothérapie, de G.________, de H.________, qui a retenu les diagnostics d’épisode dépressif léger (F32.0) et de fatigue d’origine indéterminée. L’expert a estimé que la symptomatologie dépressive était consécutive au syndrome de fatigue chronique et non l’inverse. Il a exposé que, dans la mesure où la fatigue existe depuis de longues années (12- 13 ans), elle n’est vraisemblablement pas d’origine psychiatrique; il a, dans ce sens, recommandé une investigation plus approfondie sur le plan somatique. Le médecin a finalement conclu à une pleine capacité de travail de l’assurée sur le plan psychiatrique depuis le 23 novembre 2010. - Les certificats médicaux des 24 août et 20 septembre 2010 de la Dresse K.________, médecin spécialiste FMH en neurologie, qui a noté une fatigue d’origine indéterminée, mais a exclu toute affection neurologique. - Les rapports médicaux des 20 août, 23 septembre 2010 et 7 janvier 2011 du Dr L.________, médecin spécialiste FMH en médecine générale, qui a constaté une hypersomnie et une asthénie sur probable état dépressif. Le généraliste a estimé que sa patiente était totalement incapable de travailler à compter du 26 mars 2010. - Le rapport de polysomnographie du 28 février 2011 du Dr M.________, médecin spécialiste FMH en neurologie, de N.________, qui a exposé que la polysomnographie n’avait mis en évidence qu’un trouble de l’endormissement et du maintien du sommeil, ainsi qu’un sommeil mal structuré avec absence de sommeil paradoxal. Il a précisé que l’hypersomnie n’avait pas pu être objectivée. Le médecin a somme toute estimé qu’une hypersomnie primaire, une narcolepsie ou une hypersomnie idiopathique étaient peu probables. - Les rapports médicaux des 22 septembre 2010 et 4 mars 2011 de la Dresse O.________, médecin spécialiste FMH en psychiatrie et psychothérapie pour enfants et adolescents, qui a retenu un trouble de l’adaptation avec prédominance d’une perturbation d’autres émotions (F43.23), présent depuis avril 2010, et a conclu à une incapacité de travail de sa patiente de 80% depuis le 1er avril 2011. - Le courrier à contenu médical du 3 mai 2011 de la Dresse O.________, qui a estimé que sa patiente souffrait d’un « syndrome de dissociation psychotique à minima » et a précisé que cette maladie était curable avec un traitement approprié, à savoir la prise de Ritaline et le suivi d’une psychothérapie d’orientation cognitivo-comportementale. Estimant que la recourante ne présentait pas d'atteinte à la santé invalidante et que l’activité d'enseignante était exigible sans diminution d'horaire ou de rendement, l’autorité intimée a, par décision du 10 juin 2011, rejeté sa demande de prestations. b) Suite au dépôt de la nouvelle demande de l’assurée en date du 27 août 2013, les pièces médicales suivantes ont été déposées au dossier :</w:t>
      </w:r>
    </w:p>
    <w:p>
      <w:r>
        <w:t>Tribunal cantonal TC Page 8 de 10 - La lettre à contenu médical du 15 août 2011 du Dr P.________ de G.________, de H.________, qui a estimé que « la recherche d’un nouvel emploi à plein temps [restait] la préconisation la plus sage qui puisse être faite pour dépasser la fatigue alléguée ». - Les courriers à contenu médical des 17 novembre 2011 et 29 mars 2012 du Dr M.________ de N.________, qui a requis une expertise psychiatrique complémentaire. - Le rapport médical du 26 octobre 2013 du Dr Q.________, médecin spécialiste FMH en médecine générale, qui a confirmé les diagnostics de syndrome de fatigue chronique et de dépression existants depuis plusieurs années. Il a estimé que sa patiente ne pouvait plus exercer d’activité lucrative. - Le rapport de polysomnographie du 3 décembre 2013 du Dr R.________, médecin spécialiste FMH en pneumologie et médecine du sommeil, de S.________ de I.________, qui a conclu à une hypersomnie idiopathique avec épisodes prolongés de sommeil; il a précisé que pour évaluer l’aptitude au travail de sa patiente, il conviendrait d’effectuer un test de maintien à l’éveil. Dans un rapport médical ultérieur – non daté – le Dr R.________ a conclu à une capacité de travail résiduelle de 50%, sous traitement de Ritaline maximal, avec un rendement réduit à cause des somnolences. Dans sa prise de position du 27 février 2014, le Dr T.________, médecin spécialiste FMH en médecine générale, du SMR, a exposé que la situation clinique de l’assurée ne s’était pas modifié depuis la décision du 10 juin 2011. A son avis, les conclusions, sur le plan psychiatrique du Dr F.________, et, sur le plan somatique, du Dr M.________ demeurent toujours valables. Dans son rapport de test de maintien de l’éveil – effectué pour évaluer la capacité de l’assurée à conduire – du 31 janvier 2014, le Dr R.________ a estimé que le résultat était compatible avec le diagnostic d’hypersomnie idiopathique. Le médecin a apprécié la situation médicale de l’assurée de la manière suivante : « Le test montre une somnolence diurne modérée avec une latence moyenne à l’endormissement de 29 minutes. A condition qu'elle prenne un comprimé de Ritaline rapide avant de conduire, la conduite automobile privée ne me semble pas proscrite dans son cas. Elle n’a jamais d'ailleurs présenté le moindre accident de la route dans les 5 dernières années depuis qu'elle est sous Ritaline. […] Le résultat de ce test de maintien de l'éveil modérément pathologique reste compatible avec le diagnostic d’hypersomnie idiopathique mais les pleures de la patiente à chaque consultation, son habitus et son discours suggèrent tout de même une composante dépressive ». Le 18 juillet 2014, la Dresse U.________, médecin spécialiste FMH en médecine générale, a adressé une lettre à l’OAI en exposant que sa patiente ne pouvait pas rester éveillée plus de 4 heures par jour au total et qu’elle nécessitait 20 heures de sommeil par jour pour être en pleine possession de ses capacités physiques et psychiques. Dans sa prise de position du 21 octobre 2014, le Dr T.________, du SMR, a considéré que la Dresse U.________ n’apportait pas d’élément nouveau probant, a précisé que le dossier était bien investigué et a dès lors confirmé ses précédentes conclusions. Par décision du 29 octobre 2014, l’autorité intimée est entrée en matière mais a derechef rejeté au fond la demande de l’assurée tendant à l’octroi d’une rente de l’assurance-invalidité. c) En l’espèce, si le Dr M.________ n’a dans le cadre de la procédure initiale retenu qu’un trouble de l’endormissement ainsi que du maintien du sommeil et estimé qu’une hypersomnie ne</w:t>
      </w:r>
    </w:p>
    <w:p>
      <w:r>
        <w:t>Tribunal cantonal TC Page 9 de 10 pouvait pas être objectivée, le Dr R.________ a suite à la nouvelle demande de la recourante expressément diagnostiqué une hypersomnie idiopathique. Dans un rapport ultérieur, le Dr R.________ a encore conclu à une capacité de travail résiduelle de 50%, sous traitement de Ritaline maximal, avec un rendement réduit à cause des somnolences. De plus, également dans le cadre de la procédure ouverte ensuite de la nouvelle demande, le Dr Q.________ a estimé que sa patiente était totalement incapable de travailler. Le Dr M.________ a, de surcroît, explicitement requis une expertise psychiatrique complémentaire. Sur la base de ce qui précède, force est de retenir qu’une péjoration de la situation clinique de la recourante ne peut être exclue avec une vraisemblance prépondérante contrairement à ce qu’affirme l’autorité intimée. La motivation de cette dernière tombe donc à faux sur ce point. L’autorité intimée ne saurait au demeurant être suivie lorsqu’elle avance (cf. ses observations du 9 février 2015) qu’une maladie idiopathique n’est par principe pas invalidante au sens de l’assurance-invalidité. La jurisprudence relative aux troubles somatoformes douloureux, qui s’applique également aux pathologies présentant un ensemble de symptômes comparables tel que l'hypersomnie idiopathique, a en effet abandonné la présomption selon laquelle ces affections psychosomatiques peuvent être surmontés en règle générale par un effort de volonté raisonnablement exigible. La capacité de travail réellement exigible des personnes concernées doit dès lors être évaluée dans le cadre d'une procédure d'établissement des faits structurée et sur la base d'une vision d'ensemble, à la lumière des circonstances du cas particulier et sans résultat prédéfini (cf. supra 2b). Or, dans la présente occurrence, certaines constatations et appréciations médicales déterminantes font manifestement défaut. On ignore en effet, d’une part, combien d’heures de sommeil – profond ou superficiel – par jour nécessite la recourante pour être capable d’exercer une activité lucrative avec un rendement suffisant : Seule la Dresse U.________ s’est déterminé sur cette question, estimant que sa patiente ne pouvait rester éveillée plus de 4 heures par jour pour être en pleine possession de ses facultés; la mère de la recourante a pour sa part précisé que sa fille a dû dormir 12 heures de sommeil profond lors de son examen par le I.________ et qu’il lui arrivait de dormir 22 heures par jour. D’autre part, aucun médecin ne s’est prononcé sur l’influence de l’hypersomnie et des somnolences sur la capacité de travail de la recourante. Curieusement, alors que, dans son rapport de polysomnographie du 3 décembre 2013, le Dr R.________ a précisé que pour évaluer l’aptitude au travail de sa patiente un test de maintien à l’éveil devait être effectué, dans son rapport de test de maintien de l’éveil du 31 janvier 2014, il n’a pris de conclusion que par rapport à l’aptitude de la recourante à conduire une automobile privée; or, que la recourante puisse conduire en prenant un comprimé de Ritaline ne signifie pas encore qu’elle est pleinement capable d’exercer une activité lucrative, tant s’en faut. L’existence d’une affection du sommeil invalidante ne peut, par voie de conséquence, être écartée sur la base du dossier produit. La cause doit donc être renvoyée à l’autorité intimée afin qu’elle mette en œuvre une expertise bi- disciplinaire, en médecine du sommeil et psychiatrie. Un tel complément d'instruction tombe précisément dans les exceptions aménagées par le TF permettant un renvoi (cf. ATF 137 V 210 consid. 4.4.1.4). L’autorité intimée rendra ensuite une nouvelle décision, fondée sur une appréciation médicale globale conformément aux exigences de la jurisprudence relative aux troubles somatoformes douloureux précitée. 4. a) Partant, le recours doit être partiellement admis, la décision querellée annulée et la cause renvoyée à l’autorité intimée pour instruction complémentaire au sens des considérants puis nouvelle décision.</w:t>
      </w:r>
    </w:p>
    <w:p>
      <w:r>
        <w:t>Tribunal cantonal TC Page 10 de 10 b) Les frais de justice, fixés à CHF 800.-, sont mis à la charge de l'autorité intimée. L’avance de frais de CHF 800.- consentie par la recourante lui est restituée. Ayant obtenu par là gain de cause (ATF 132 V 215 consid. 6.2), la recourante a droit à des dépens. Conformément aux art. 137 ss du code du 23 mai 1991 de procédure et de juridiction administrative (CPJA; RSF 150.1) et du tarif du 17 décembre 1991 des frais de procédure et des indemnités en matière de juridiction administrative (Tarif/JA; RSF 150.12), sur le vu de la liste de frais produite le 25 avril 2016 par Me Michel De Palma, il se justifie de fixer l'indemnité à CHF 3'563.10, à savoir 13 heures 43 minutes à CHF 230.-, plus 1 heure 38 minutes à CHF 250.- (CHF 250.- de l’heure pour les opérations effectuées après le 1er juillet 2015). Les débours, qui n’ont pas été calculés conformément à la règlementation et la pratique fribourgeoises (notamment les photocopies doivent être facturées à CHF 0.40 et les frais d’ouverture de dossier ne sont pas pris en compte), doivent être globalement fixés à CHF 110.-. Un montant de CHF 293.85 s’ajoute enfin au titre de la TVA à 8 %. L’indemnité totale de CHF 3'966.95 est intégralement à la charge de l'autorité intimée et sera directement versée au mandataire de la recourante. la Cour arrête: I. Le recours est partiellement admis. Partant, la décision du 29 octobre 2014 est annulée et la cause renvoyée à l'Office de l’assurance-invalidité du canton de Fribourg pour instruction complémentaire au sens des considérants puis nouvelle décision. II. Les frais de justice, fixés à CHF 800.-, sont mis à la charge de l’Office de l’assurance- invalidité du canton de Fribourg. III. L’avance de frais de CHF 800.- consentie par A.________ lui est restituée. IV. Il est alloué à A.________ pour ses frais de défense une indemnité de CHF 3'563.10, plus un montant de CHF 110.- au titre de débours, plus CHF 293.85 au titre de la TVA à 8 %, soit un total de CHF 3'966.95. Elle est intégralement à la charge de l'Office de l’assurance-invalidité du canton de Fribourg et sera directement versée à Me Michel De Palma.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mai 2016/yho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